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topLinePunct/>
        <w:snapToGrid w:val="0"/>
        <w:jc w:val="center"/>
        <w:rPr>
          <w:rFonts w:ascii="方正小标宋_GBK" w:hAnsi="Times New Roman" w:eastAsia="方正小标宋_GBK"/>
          <w:sz w:val="52"/>
          <w:szCs w:val="52"/>
        </w:rPr>
      </w:pPr>
      <w:r>
        <w:rPr>
          <w:rFonts w:ascii="方正小标宋_GBK" w:hAnsi="Times New Roman" w:eastAsia="方正小标宋_GBK"/>
          <w:sz w:val="52"/>
          <w:szCs w:val="52"/>
        </w:rPr>
        <w:t>60万吨/年中芳烃加氢改质</w:t>
      </w:r>
      <w:r>
        <w:rPr>
          <w:rFonts w:hint="eastAsia" w:ascii="方正小标宋_GBK" w:hAnsi="Times New Roman" w:eastAsia="方正小标宋_GBK"/>
          <w:sz w:val="52"/>
          <w:szCs w:val="52"/>
        </w:rPr>
        <w:t>工程</w:t>
      </w:r>
      <w:r>
        <w:rPr>
          <w:rFonts w:ascii="方正小标宋_GBK" w:hAnsi="Times New Roman" w:eastAsia="方正小标宋_GBK"/>
          <w:sz w:val="52"/>
          <w:szCs w:val="52"/>
        </w:rPr>
        <w:t>项目竣工环境保护验收</w:t>
      </w:r>
    </w:p>
    <w:p>
      <w:pPr>
        <w:overflowPunct w:val="0"/>
        <w:topLinePunct/>
        <w:snapToGrid w:val="0"/>
        <w:jc w:val="center"/>
        <w:rPr>
          <w:rFonts w:ascii="方正小标宋_GBK" w:hAnsi="Times New Roman" w:eastAsia="方正小标宋_GBK"/>
          <w:sz w:val="52"/>
          <w:szCs w:val="52"/>
        </w:rPr>
      </w:pPr>
      <w:r>
        <w:rPr>
          <w:rFonts w:ascii="方正小标宋_GBK" w:hAnsi="Times New Roman" w:eastAsia="方正小标宋_GBK"/>
          <w:sz w:val="52"/>
          <w:szCs w:val="52"/>
        </w:rPr>
        <w:t>（噪声和固体废物）监测报告</w:t>
      </w: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right="420" w:rightChars="200" w:firstLine="640" w:firstLineChars="200"/>
        <w:rPr>
          <w:rFonts w:ascii="Times New Roman" w:hAnsi="Times New Roman" w:eastAsia="方正仿宋_GBK"/>
          <w:sz w:val="32"/>
          <w:szCs w:val="32"/>
        </w:rPr>
      </w:pPr>
      <w:r>
        <w:rPr>
          <w:rFonts w:ascii="Times New Roman" w:hAnsi="Times New Roman" w:eastAsia="方正仿宋_GBK"/>
          <w:sz w:val="32"/>
          <w:szCs w:val="32"/>
        </w:rPr>
        <w:t>建设单位：</w:t>
      </w:r>
      <w:r>
        <w:rPr>
          <w:rFonts w:hint="eastAsia" w:ascii="Times New Roman" w:hAnsi="Times New Roman" w:eastAsia="方正仿宋_GBK"/>
          <w:sz w:val="32"/>
          <w:szCs w:val="32"/>
          <w:u w:val="single"/>
        </w:rPr>
        <w:t xml:space="preserve"> </w:t>
      </w:r>
      <w:r>
        <w:rPr>
          <w:rFonts w:hint="eastAsia" w:ascii="Times New Roman" w:hAnsi="Times New Roman" w:eastAsia="方正仿宋_GBK"/>
          <w:sz w:val="32"/>
          <w:szCs w:val="32"/>
          <w:u w:val="single"/>
          <w:lang w:eastAsia="zh-CN"/>
        </w:rPr>
        <w:t>河南丰利石化有限公司</w:t>
      </w:r>
      <w:r>
        <w:rPr>
          <w:rFonts w:ascii="Times New Roman" w:hAnsi="Times New Roman" w:eastAsia="方正仿宋_GBK"/>
          <w:sz w:val="32"/>
          <w:szCs w:val="32"/>
          <w:u w:val="single"/>
        </w:rPr>
        <w:t xml:space="preserve"> </w:t>
      </w:r>
    </w:p>
    <w:p>
      <w:pPr>
        <w:overflowPunct w:val="0"/>
        <w:topLinePunct/>
        <w:spacing w:line="590" w:lineRule="exact"/>
        <w:ind w:right="840" w:rightChars="400" w:firstLine="640" w:firstLineChars="200"/>
        <w:rPr>
          <w:rFonts w:ascii="Times New Roman" w:hAnsi="Times New Roman" w:eastAsia="方正仿宋_GBK"/>
          <w:sz w:val="32"/>
          <w:szCs w:val="32"/>
        </w:rPr>
      </w:pPr>
      <w:r>
        <w:rPr>
          <w:rFonts w:ascii="Times New Roman" w:hAnsi="Times New Roman" w:eastAsia="方正仿宋_GBK"/>
          <w:sz w:val="32"/>
          <w:szCs w:val="32"/>
        </w:rPr>
        <w:t>编制单位：</w:t>
      </w:r>
      <w:r>
        <w:rPr>
          <w:rFonts w:hint="eastAsia" w:ascii="Times New Roman" w:hAnsi="Times New Roman" w:eastAsia="方正仿宋_GBK"/>
          <w:sz w:val="32"/>
          <w:szCs w:val="32"/>
          <w:u w:val="single"/>
        </w:rPr>
        <w:t xml:space="preserve"> </w:t>
      </w:r>
      <w:r>
        <w:rPr>
          <w:rFonts w:hint="eastAsia" w:ascii="Times New Roman" w:hAnsi="Times New Roman" w:eastAsia="方正仿宋_GBK"/>
          <w:sz w:val="32"/>
          <w:szCs w:val="32"/>
          <w:u w:val="single"/>
          <w:lang w:eastAsia="zh-CN"/>
        </w:rPr>
        <w:t>河南鑫安利职业健康科技有限公司</w:t>
      </w: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jc w:val="center"/>
        <w:rPr>
          <w:rFonts w:hint="eastAsia" w:ascii="方正楷体_GBK" w:hAnsi="Times New Roman" w:eastAsia="方正楷体_GBK"/>
          <w:sz w:val="32"/>
          <w:szCs w:val="32"/>
        </w:rPr>
      </w:pPr>
      <w:r>
        <w:rPr>
          <w:rFonts w:hint="eastAsia" w:ascii="方正楷体_GBK" w:hAnsi="Times New Roman" w:eastAsia="方正楷体_GBK"/>
          <w:sz w:val="32"/>
          <w:szCs w:val="32"/>
          <w:lang w:val="en-US" w:eastAsia="zh-CN"/>
        </w:rPr>
        <w:t>2020</w:t>
      </w:r>
      <w:r>
        <w:rPr>
          <w:rFonts w:hint="eastAsia" w:ascii="方正楷体_GBK" w:hAnsi="Times New Roman" w:eastAsia="方正楷体_GBK"/>
          <w:sz w:val="32"/>
          <w:szCs w:val="32"/>
        </w:rPr>
        <w:t>年</w:t>
      </w:r>
      <w:r>
        <w:rPr>
          <w:rFonts w:hint="eastAsia" w:ascii="方正楷体_GBK" w:hAnsi="Times New Roman" w:eastAsia="方正楷体_GBK"/>
          <w:sz w:val="32"/>
          <w:szCs w:val="32"/>
          <w:lang w:val="en-US" w:eastAsia="zh-CN"/>
        </w:rPr>
        <w:t>05</w:t>
      </w:r>
      <w:r>
        <w:rPr>
          <w:rFonts w:hint="eastAsia" w:ascii="方正楷体_GBK" w:hAnsi="Times New Roman" w:eastAsia="方正楷体_GBK"/>
          <w:sz w:val="32"/>
          <w:szCs w:val="32"/>
        </w:rPr>
        <w:t>月</w:t>
      </w:r>
    </w:p>
    <w:p>
      <w:pPr>
        <w:overflowPunct w:val="0"/>
        <w:topLinePunct/>
        <w:spacing w:line="590" w:lineRule="exact"/>
        <w:jc w:val="center"/>
        <w:rPr>
          <w:rFonts w:hint="eastAsia" w:ascii="方正楷体_GBK" w:hAnsi="Times New Roman" w:eastAsia="方正楷体_GBK"/>
          <w:sz w:val="32"/>
          <w:szCs w:val="32"/>
        </w:rPr>
      </w:pPr>
    </w:p>
    <w:p>
      <w:pPr>
        <w:overflowPunct w:val="0"/>
        <w:topLinePunct/>
        <w:spacing w:line="590" w:lineRule="exact"/>
        <w:jc w:val="center"/>
        <w:rPr>
          <w:rFonts w:hint="eastAsia" w:ascii="方正楷体_GBK" w:hAnsi="Times New Roman" w:eastAsia="方正楷体_GBK"/>
          <w:sz w:val="32"/>
          <w:szCs w:val="32"/>
        </w:rPr>
      </w:pPr>
    </w:p>
    <w:p>
      <w:pPr>
        <w:overflowPunct w:val="0"/>
        <w:topLinePunct/>
        <w:spacing w:line="590" w:lineRule="exact"/>
        <w:jc w:val="center"/>
        <w:rPr>
          <w:rFonts w:hint="eastAsia" w:ascii="方正楷体_GBK" w:hAnsi="Times New Roman" w:eastAsia="方正楷体_GBK"/>
          <w:sz w:val="32"/>
          <w:szCs w:val="32"/>
          <w:lang w:eastAsia="zh-CN"/>
        </w:rPr>
      </w:pPr>
      <w:r>
        <w:rPr>
          <w:rFonts w:hint="eastAsia" w:ascii="方正楷体_GBK" w:hAnsi="Times New Roman" w:eastAsia="方正楷体_GBK"/>
          <w:sz w:val="32"/>
          <w:szCs w:val="32"/>
          <w:lang w:eastAsia="zh-CN"/>
        </w:rPr>
        <w:br w:type="page"/>
      </w:r>
    </w:p>
    <w:p>
      <w:pPr>
        <w:overflowPunct w:val="0"/>
        <w:topLinePunct/>
        <w:spacing w:line="590" w:lineRule="exact"/>
        <w:ind w:firstLine="640" w:firstLineChars="200"/>
        <w:rPr>
          <w:rFonts w:hint="eastAsia" w:ascii="Times New Roman" w:hAnsi="Times New Roman" w:eastAsia="方正仿宋_GBK"/>
          <w:sz w:val="32"/>
          <w:szCs w:val="32"/>
          <w:lang w:eastAsia="zh-CN"/>
        </w:rPr>
      </w:pPr>
      <w:r>
        <w:rPr>
          <w:rFonts w:ascii="Times New Roman" w:hAnsi="Times New Roman" w:eastAsia="方正仿宋_GBK"/>
          <w:sz w:val="32"/>
          <w:szCs w:val="32"/>
        </w:rPr>
        <w:t>建</w:t>
      </w:r>
      <w:r>
        <w:rPr>
          <w:rFonts w:hint="eastAsia" w:ascii="Times New Roman" w:hAnsi="Times New Roman" w:eastAsia="方正仿宋_GBK"/>
          <w:sz w:val="32"/>
          <w:szCs w:val="32"/>
        </w:rPr>
        <w:t xml:space="preserve"> </w:t>
      </w:r>
      <w:r>
        <w:rPr>
          <w:rFonts w:ascii="Times New Roman" w:hAnsi="Times New Roman" w:eastAsia="方正仿宋_GBK"/>
          <w:sz w:val="32"/>
          <w:szCs w:val="32"/>
        </w:rPr>
        <w:t>设</w:t>
      </w:r>
      <w:r>
        <w:rPr>
          <w:rFonts w:hint="eastAsia" w:ascii="Times New Roman" w:hAnsi="Times New Roman" w:eastAsia="方正仿宋_GBK"/>
          <w:sz w:val="32"/>
          <w:szCs w:val="32"/>
        </w:rPr>
        <w:t xml:space="preserve"> </w:t>
      </w:r>
      <w:r>
        <w:rPr>
          <w:rFonts w:ascii="Times New Roman" w:hAnsi="Times New Roman" w:eastAsia="方正仿宋_GBK"/>
          <w:sz w:val="32"/>
          <w:szCs w:val="32"/>
        </w:rPr>
        <w:t>单</w:t>
      </w:r>
      <w:r>
        <w:rPr>
          <w:rFonts w:hint="eastAsia" w:ascii="Times New Roman" w:hAnsi="Times New Roman" w:eastAsia="方正仿宋_GBK"/>
          <w:sz w:val="32"/>
          <w:szCs w:val="32"/>
        </w:rPr>
        <w:t xml:space="preserve"> </w:t>
      </w:r>
      <w:r>
        <w:rPr>
          <w:rFonts w:ascii="Times New Roman" w:hAnsi="Times New Roman" w:eastAsia="方正仿宋_GBK"/>
          <w:sz w:val="32"/>
          <w:szCs w:val="32"/>
        </w:rPr>
        <w:t>位：</w:t>
      </w:r>
      <w:r>
        <w:rPr>
          <w:rFonts w:hint="eastAsia" w:ascii="Times New Roman" w:hAnsi="Times New Roman" w:eastAsia="方正仿宋_GBK"/>
          <w:sz w:val="32"/>
          <w:szCs w:val="32"/>
          <w:lang w:eastAsia="zh-CN"/>
        </w:rPr>
        <w:t>河南丰利石化有限公司</w:t>
      </w:r>
    </w:p>
    <w:p>
      <w:pPr>
        <w:overflowPunct w:val="0"/>
        <w:topLinePunct/>
        <w:spacing w:line="590" w:lineRule="exact"/>
        <w:ind w:firstLine="640" w:firstLineChars="200"/>
        <w:rPr>
          <w:rFonts w:hint="eastAsia" w:ascii="Times New Roman" w:hAnsi="Times New Roman" w:eastAsia="方正仿宋_GBK"/>
          <w:sz w:val="32"/>
          <w:szCs w:val="32"/>
          <w:lang w:val="en-US" w:eastAsia="zh-CN"/>
        </w:rPr>
      </w:pPr>
      <w:r>
        <w:rPr>
          <w:rFonts w:ascii="Times New Roman" w:hAnsi="Times New Roman" w:eastAsia="方正仿宋_GBK"/>
          <w:sz w:val="32"/>
          <w:szCs w:val="32"/>
        </w:rPr>
        <w:t>法 人 代 表：</w:t>
      </w:r>
      <w:r>
        <w:rPr>
          <w:rFonts w:hint="eastAsia" w:ascii="Times New Roman" w:hAnsi="Times New Roman" w:eastAsia="方正仿宋_GBK"/>
          <w:sz w:val="32"/>
          <w:szCs w:val="32"/>
          <w:lang w:eastAsia="zh-CN"/>
        </w:rPr>
        <w:t>焦广文</w:t>
      </w: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hint="eastAsia" w:ascii="Times New Roman" w:hAnsi="Times New Roman" w:eastAsia="方正仿宋_GBK"/>
          <w:sz w:val="32"/>
          <w:szCs w:val="32"/>
          <w:lang w:eastAsia="zh-CN"/>
        </w:rPr>
      </w:pPr>
      <w:r>
        <w:rPr>
          <w:rFonts w:ascii="Times New Roman" w:hAnsi="Times New Roman" w:eastAsia="方正仿宋_GBK"/>
          <w:sz w:val="32"/>
          <w:szCs w:val="32"/>
        </w:rPr>
        <w:t>编 制 单 位：</w:t>
      </w:r>
      <w:r>
        <w:rPr>
          <w:rFonts w:hint="eastAsia" w:ascii="Times New Roman" w:hAnsi="Times New Roman" w:eastAsia="方正仿宋_GBK"/>
          <w:sz w:val="32"/>
          <w:szCs w:val="32"/>
          <w:lang w:eastAsia="zh-CN"/>
        </w:rPr>
        <w:t>河南鑫安利职业健康科技有限公司</w:t>
      </w:r>
    </w:p>
    <w:p>
      <w:pPr>
        <w:overflowPunct w:val="0"/>
        <w:topLinePunct/>
        <w:spacing w:line="590" w:lineRule="exact"/>
        <w:ind w:firstLine="640" w:firstLineChars="200"/>
        <w:rPr>
          <w:rFonts w:hint="eastAsia" w:ascii="Times New Roman" w:hAnsi="Times New Roman" w:eastAsia="方正仿宋_GBK"/>
          <w:sz w:val="32"/>
          <w:szCs w:val="32"/>
          <w:lang w:eastAsia="zh-CN"/>
        </w:rPr>
      </w:pPr>
      <w:r>
        <w:rPr>
          <w:rFonts w:ascii="Times New Roman" w:hAnsi="Times New Roman" w:eastAsia="方正仿宋_GBK"/>
          <w:sz w:val="32"/>
          <w:szCs w:val="32"/>
        </w:rPr>
        <w:t>法 人 代 表：</w:t>
      </w:r>
      <w:r>
        <w:rPr>
          <w:rFonts w:hint="eastAsia" w:ascii="Times New Roman" w:hAnsi="Times New Roman" w:eastAsia="方正仿宋_GBK"/>
          <w:sz w:val="32"/>
          <w:szCs w:val="32"/>
          <w:lang w:eastAsia="zh-CN"/>
        </w:rPr>
        <w:t>杨耀党</w:t>
      </w:r>
    </w:p>
    <w:p>
      <w:pPr>
        <w:overflowPunct w:val="0"/>
        <w:topLinePunct/>
        <w:spacing w:line="590" w:lineRule="exact"/>
        <w:ind w:firstLine="640" w:firstLineChars="200"/>
        <w:rPr>
          <w:rFonts w:hint="eastAsia" w:ascii="Times New Roman" w:hAnsi="Times New Roman" w:eastAsia="方正仿宋_GBK"/>
          <w:sz w:val="32"/>
          <w:szCs w:val="32"/>
          <w:lang w:eastAsia="zh-CN"/>
        </w:rPr>
      </w:pPr>
      <w:r>
        <w:rPr>
          <w:rFonts w:ascii="Times New Roman" w:hAnsi="Times New Roman" w:eastAsia="方正仿宋_GBK"/>
          <w:sz w:val="32"/>
          <w:szCs w:val="32"/>
        </w:rPr>
        <w:t>项</w:t>
      </w:r>
      <w:r>
        <w:rPr>
          <w:rFonts w:ascii="Times New Roman" w:hAnsi="Times New Roman" w:eastAsia="方正仿宋_GBK"/>
          <w:spacing w:val="-60"/>
          <w:sz w:val="32"/>
          <w:szCs w:val="32"/>
        </w:rPr>
        <w:t xml:space="preserve"> </w:t>
      </w:r>
      <w:r>
        <w:rPr>
          <w:rFonts w:ascii="Times New Roman" w:hAnsi="Times New Roman" w:eastAsia="方正仿宋_GBK"/>
          <w:sz w:val="32"/>
          <w:szCs w:val="32"/>
        </w:rPr>
        <w:t>目</w:t>
      </w:r>
      <w:r>
        <w:rPr>
          <w:rFonts w:ascii="Times New Roman" w:hAnsi="Times New Roman" w:eastAsia="方正仿宋_GBK"/>
          <w:spacing w:val="-60"/>
          <w:sz w:val="32"/>
          <w:szCs w:val="32"/>
        </w:rPr>
        <w:t xml:space="preserve"> </w:t>
      </w:r>
      <w:r>
        <w:rPr>
          <w:rFonts w:ascii="Times New Roman" w:hAnsi="Times New Roman" w:eastAsia="方正仿宋_GBK"/>
          <w:sz w:val="32"/>
          <w:szCs w:val="32"/>
        </w:rPr>
        <w:t>负</w:t>
      </w:r>
      <w:r>
        <w:rPr>
          <w:rFonts w:ascii="Times New Roman" w:hAnsi="Times New Roman" w:eastAsia="方正仿宋_GBK"/>
          <w:spacing w:val="-60"/>
          <w:sz w:val="32"/>
          <w:szCs w:val="32"/>
        </w:rPr>
        <w:t xml:space="preserve"> </w:t>
      </w:r>
      <w:r>
        <w:rPr>
          <w:rFonts w:ascii="Times New Roman" w:hAnsi="Times New Roman" w:eastAsia="方正仿宋_GBK"/>
          <w:sz w:val="32"/>
          <w:szCs w:val="32"/>
        </w:rPr>
        <w:t>责</w:t>
      </w:r>
      <w:r>
        <w:rPr>
          <w:rFonts w:ascii="Times New Roman" w:hAnsi="Times New Roman" w:eastAsia="方正仿宋_GBK"/>
          <w:spacing w:val="-60"/>
          <w:sz w:val="32"/>
          <w:szCs w:val="32"/>
        </w:rPr>
        <w:t xml:space="preserve"> </w:t>
      </w:r>
      <w:r>
        <w:rPr>
          <w:rFonts w:ascii="Times New Roman" w:hAnsi="Times New Roman" w:eastAsia="方正仿宋_GBK"/>
          <w:sz w:val="32"/>
          <w:szCs w:val="32"/>
        </w:rPr>
        <w:t>人：</w:t>
      </w:r>
      <w:r>
        <w:rPr>
          <w:rFonts w:hint="eastAsia" w:ascii="Times New Roman" w:hAnsi="Times New Roman" w:eastAsia="方正仿宋_GBK"/>
          <w:sz w:val="32"/>
          <w:szCs w:val="32"/>
          <w:lang w:eastAsia="zh-CN"/>
        </w:rPr>
        <w:t>陈彩凤</w:t>
      </w: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640" w:firstLineChars="200"/>
        <w:rPr>
          <w:rFonts w:ascii="Times New Roman" w:hAnsi="Times New Roman" w:eastAsia="方正仿宋_GBK"/>
          <w:sz w:val="32"/>
          <w:szCs w:val="32"/>
        </w:rPr>
      </w:pPr>
    </w:p>
    <w:p>
      <w:pPr>
        <w:overflowPunct w:val="0"/>
        <w:topLinePunct/>
        <w:spacing w:line="590" w:lineRule="exact"/>
        <w:ind w:firstLine="420" w:firstLineChars="200"/>
      </w:pPr>
    </w:p>
    <w:p>
      <w:pPr>
        <w:keepNext w:val="0"/>
        <w:keepLines w:val="0"/>
        <w:pageBreakBefore w:val="0"/>
        <w:widowControl w:val="0"/>
        <w:kinsoku/>
        <w:wordWrap/>
        <w:overflowPunct/>
        <w:topLinePunct w:val="0"/>
        <w:autoSpaceDE/>
        <w:autoSpaceDN/>
        <w:bidi w:val="0"/>
        <w:adjustRightInd/>
        <w:snapToGrid/>
        <w:ind w:firstLine="0" w:firstLineChars="0"/>
        <w:jc w:val="both"/>
        <w:textAlignment w:val="auto"/>
        <w:outlineLvl w:val="9"/>
        <w:rPr>
          <w:rFonts w:hint="eastAsia" w:ascii="Times New Roman" w:hAnsi="Times New Roman"/>
          <w:b w:val="0"/>
          <w:bCs/>
          <w:kern w:val="21"/>
          <w:sz w:val="21"/>
          <w:szCs w:val="21"/>
        </w:rPr>
      </w:pPr>
      <w:r>
        <w:rPr>
          <w:rFonts w:ascii="Times New Roman" w:hAnsi="Times New Roman"/>
          <w:b/>
          <w:kern w:val="21"/>
          <w:sz w:val="21"/>
          <w:szCs w:val="21"/>
        </w:rPr>
        <w:t>建设单位：</w:t>
      </w:r>
      <w:r>
        <w:rPr>
          <w:rFonts w:hint="eastAsia" w:ascii="Times New Roman" w:hAnsi="Times New Roman"/>
          <w:b w:val="0"/>
          <w:bCs/>
          <w:kern w:val="21"/>
          <w:sz w:val="21"/>
          <w:szCs w:val="21"/>
        </w:rPr>
        <w:t>河南丰利石化有限公司</w:t>
      </w:r>
      <w:r>
        <w:rPr>
          <w:rFonts w:ascii="Times New Roman" w:hAnsi="Times New Roman"/>
          <w:b/>
          <w:kern w:val="21"/>
          <w:sz w:val="21"/>
          <w:szCs w:val="21"/>
        </w:rPr>
        <w:t xml:space="preserve"> </w:t>
      </w:r>
      <w:r>
        <w:rPr>
          <w:rFonts w:hint="eastAsia" w:ascii="Times New Roman" w:hAnsi="Times New Roman"/>
          <w:b/>
          <w:kern w:val="21"/>
          <w:sz w:val="21"/>
          <w:szCs w:val="21"/>
        </w:rPr>
        <w:t xml:space="preserve">    </w:t>
      </w:r>
      <w:r>
        <w:rPr>
          <w:rFonts w:ascii="Times New Roman" w:hAnsi="Times New Roman"/>
          <w:b/>
          <w:kern w:val="21"/>
          <w:sz w:val="21"/>
          <w:szCs w:val="21"/>
        </w:rPr>
        <w:t xml:space="preserve"> </w:t>
      </w:r>
      <w:r>
        <w:rPr>
          <w:rFonts w:hint="eastAsia" w:ascii="Times New Roman" w:hAnsi="Times New Roman"/>
          <w:b/>
          <w:kern w:val="21"/>
          <w:sz w:val="21"/>
          <w:szCs w:val="21"/>
        </w:rPr>
        <w:t xml:space="preserve">  </w:t>
      </w:r>
      <w:r>
        <w:rPr>
          <w:rFonts w:ascii="Times New Roman" w:hAnsi="Times New Roman"/>
          <w:b/>
          <w:kern w:val="21"/>
          <w:sz w:val="21"/>
          <w:szCs w:val="21"/>
        </w:rPr>
        <w:t xml:space="preserve"> </w:t>
      </w:r>
      <w:r>
        <w:rPr>
          <w:rFonts w:hint="eastAsia" w:ascii="Times New Roman" w:hAnsi="Times New Roman"/>
          <w:b/>
          <w:kern w:val="21"/>
          <w:sz w:val="21"/>
          <w:szCs w:val="21"/>
          <w:lang w:val="en-US" w:eastAsia="zh-CN"/>
        </w:rPr>
        <w:t xml:space="preserve">   </w:t>
      </w:r>
      <w:r>
        <w:rPr>
          <w:rFonts w:ascii="Times New Roman" w:hAnsi="Times New Roman"/>
          <w:b/>
          <w:kern w:val="21"/>
          <w:sz w:val="21"/>
          <w:szCs w:val="21"/>
        </w:rPr>
        <w:t>编制单位</w:t>
      </w:r>
      <w:r>
        <w:rPr>
          <w:rFonts w:hint="eastAsia" w:ascii="Times New Roman" w:hAnsi="Times New Roman"/>
          <w:b/>
          <w:kern w:val="21"/>
          <w:sz w:val="21"/>
          <w:szCs w:val="21"/>
        </w:rPr>
        <w:t>：</w:t>
      </w:r>
      <w:r>
        <w:rPr>
          <w:rFonts w:hint="eastAsia" w:ascii="Times New Roman" w:hAnsi="Times New Roman"/>
          <w:b w:val="0"/>
          <w:bCs/>
          <w:kern w:val="21"/>
          <w:sz w:val="21"/>
          <w:szCs w:val="21"/>
        </w:rPr>
        <w:t>河南鑫安利职业健康科技有限公司</w:t>
      </w:r>
    </w:p>
    <w:p>
      <w:pPr>
        <w:keepNext w:val="0"/>
        <w:keepLines w:val="0"/>
        <w:pageBreakBefore w:val="0"/>
        <w:widowControl w:val="0"/>
        <w:kinsoku/>
        <w:wordWrap/>
        <w:overflowPunct/>
        <w:topLinePunct w:val="0"/>
        <w:autoSpaceDE/>
        <w:autoSpaceDN/>
        <w:bidi w:val="0"/>
        <w:adjustRightInd/>
        <w:snapToGrid/>
        <w:ind w:firstLine="0" w:firstLineChars="0"/>
        <w:jc w:val="both"/>
        <w:textAlignment w:val="auto"/>
        <w:outlineLvl w:val="9"/>
        <w:rPr>
          <w:rFonts w:hint="eastAsia" w:ascii="Times New Roman" w:hAnsi="Times New Roman"/>
          <w:b w:val="0"/>
          <w:bCs/>
          <w:kern w:val="21"/>
          <w:sz w:val="21"/>
          <w:szCs w:val="21"/>
        </w:rPr>
      </w:pPr>
      <w:r>
        <w:rPr>
          <w:rFonts w:ascii="Times New Roman" w:hAnsi="Times New Roman"/>
          <w:b/>
          <w:kern w:val="21"/>
          <w:sz w:val="21"/>
          <w:szCs w:val="21"/>
        </w:rPr>
        <w:t xml:space="preserve">电  </w:t>
      </w:r>
      <w:r>
        <w:rPr>
          <w:rFonts w:hint="eastAsia" w:ascii="Times New Roman" w:hAnsi="Times New Roman"/>
          <w:b/>
          <w:kern w:val="21"/>
          <w:sz w:val="21"/>
          <w:szCs w:val="21"/>
          <w:lang w:val="en-US" w:eastAsia="zh-CN"/>
        </w:rPr>
        <w:t xml:space="preserve"> </w:t>
      </w:r>
      <w:r>
        <w:rPr>
          <w:rFonts w:ascii="Times New Roman" w:hAnsi="Times New Roman"/>
          <w:b/>
          <w:kern w:val="21"/>
          <w:sz w:val="21"/>
          <w:szCs w:val="21"/>
        </w:rPr>
        <w:t xml:space="preserve"> 话：</w:t>
      </w:r>
      <w:r>
        <w:rPr>
          <w:rFonts w:hint="eastAsia" w:ascii="Times New Roman" w:hAnsi="Times New Roman"/>
          <w:b w:val="0"/>
          <w:bCs/>
          <w:kern w:val="21"/>
          <w:sz w:val="21"/>
          <w:szCs w:val="21"/>
        </w:rPr>
        <w:t xml:space="preserve">0393-8753669 </w:t>
      </w:r>
      <w:r>
        <w:rPr>
          <w:rFonts w:hint="eastAsia" w:ascii="Times New Roman" w:hAnsi="Times New Roman"/>
          <w:b/>
          <w:kern w:val="21"/>
          <w:sz w:val="21"/>
          <w:szCs w:val="21"/>
        </w:rPr>
        <w:t xml:space="preserve">   </w:t>
      </w:r>
      <w:r>
        <w:rPr>
          <w:rFonts w:ascii="Times New Roman" w:hAnsi="Times New Roman"/>
          <w:b/>
          <w:kern w:val="21"/>
          <w:sz w:val="21"/>
          <w:szCs w:val="21"/>
        </w:rPr>
        <w:t xml:space="preserve"> </w:t>
      </w:r>
      <w:r>
        <w:rPr>
          <w:rFonts w:hint="eastAsia" w:ascii="Times New Roman" w:hAnsi="Times New Roman"/>
          <w:b/>
          <w:kern w:val="21"/>
          <w:sz w:val="21"/>
          <w:szCs w:val="21"/>
        </w:rPr>
        <w:t xml:space="preserve">            </w:t>
      </w:r>
      <w:r>
        <w:rPr>
          <w:rFonts w:hint="eastAsia" w:ascii="Times New Roman" w:hAnsi="Times New Roman"/>
          <w:b/>
          <w:kern w:val="21"/>
          <w:sz w:val="21"/>
          <w:szCs w:val="21"/>
          <w:lang w:val="en-US" w:eastAsia="zh-CN"/>
        </w:rPr>
        <w:t xml:space="preserve">    </w:t>
      </w:r>
      <w:r>
        <w:rPr>
          <w:rFonts w:ascii="Times New Roman" w:hAnsi="Times New Roman"/>
          <w:b/>
          <w:kern w:val="21"/>
          <w:sz w:val="21"/>
          <w:szCs w:val="21"/>
        </w:rPr>
        <w:t>电    话：</w:t>
      </w:r>
      <w:r>
        <w:rPr>
          <w:rFonts w:hint="eastAsia" w:ascii="Times New Roman" w:hAnsi="Times New Roman"/>
          <w:b w:val="0"/>
          <w:bCs/>
          <w:kern w:val="21"/>
          <w:sz w:val="21"/>
          <w:szCs w:val="21"/>
        </w:rPr>
        <w:t>0371-86083087</w:t>
      </w:r>
    </w:p>
    <w:p>
      <w:pPr>
        <w:keepNext w:val="0"/>
        <w:keepLines w:val="0"/>
        <w:pageBreakBefore w:val="0"/>
        <w:widowControl w:val="0"/>
        <w:kinsoku/>
        <w:wordWrap/>
        <w:overflowPunct/>
        <w:topLinePunct w:val="0"/>
        <w:autoSpaceDE/>
        <w:autoSpaceDN/>
        <w:bidi w:val="0"/>
        <w:adjustRightInd/>
        <w:snapToGrid/>
        <w:ind w:firstLine="0" w:firstLineChars="0"/>
        <w:jc w:val="both"/>
        <w:textAlignment w:val="auto"/>
        <w:outlineLvl w:val="9"/>
        <w:rPr>
          <w:rFonts w:hint="eastAsia" w:ascii="Times New Roman" w:hAnsi="Times New Roman"/>
          <w:b/>
          <w:kern w:val="21"/>
          <w:sz w:val="21"/>
          <w:szCs w:val="21"/>
        </w:rPr>
        <w:sectPr>
          <w:headerReference r:id="rId3" w:type="default"/>
          <w:footerReference r:id="rId4" w:type="default"/>
          <w:pgSz w:w="11906" w:h="16838"/>
          <w:pgMar w:top="1440" w:right="1349" w:bottom="1440" w:left="1156" w:header="708" w:footer="709" w:gutter="0"/>
          <w:pgNumType w:start="1"/>
          <w:cols w:space="0" w:num="1"/>
          <w:rtlGutter w:val="0"/>
          <w:docGrid w:linePitch="381" w:charSpace="0"/>
        </w:sectPr>
      </w:pPr>
      <w:r>
        <w:rPr>
          <w:rFonts w:ascii="Times New Roman" w:hAnsi="Times New Roman"/>
          <w:b/>
          <w:kern w:val="21"/>
          <w:sz w:val="21"/>
          <w:szCs w:val="21"/>
        </w:rPr>
        <w:t>地</w:t>
      </w:r>
      <w:r>
        <w:rPr>
          <w:rFonts w:hint="eastAsia" w:ascii="Times New Roman" w:hAnsi="Times New Roman"/>
          <w:b/>
          <w:kern w:val="21"/>
          <w:sz w:val="21"/>
          <w:szCs w:val="21"/>
          <w:lang w:val="en-US" w:eastAsia="zh-CN"/>
        </w:rPr>
        <w:t xml:space="preserve">  </w:t>
      </w:r>
      <w:r>
        <w:rPr>
          <w:rFonts w:ascii="Times New Roman" w:hAnsi="Times New Roman"/>
          <w:b/>
          <w:kern w:val="21"/>
          <w:sz w:val="21"/>
          <w:szCs w:val="21"/>
        </w:rPr>
        <w:t>址：</w:t>
      </w:r>
      <w:r>
        <w:rPr>
          <w:rFonts w:hint="eastAsia" w:ascii="Times New Roman" w:hAnsi="Times New Roman"/>
          <w:b w:val="0"/>
          <w:bCs/>
          <w:kern w:val="21"/>
          <w:sz w:val="21"/>
          <w:szCs w:val="21"/>
        </w:rPr>
        <w:t>河南省濮阳市范县</w:t>
      </w:r>
      <w:r>
        <w:rPr>
          <w:rFonts w:hint="eastAsia" w:ascii="Times New Roman" w:hAnsi="Times New Roman"/>
          <w:b w:val="0"/>
          <w:bCs/>
          <w:kern w:val="21"/>
          <w:sz w:val="21"/>
          <w:szCs w:val="21"/>
          <w:lang w:eastAsia="zh-CN"/>
        </w:rPr>
        <w:t>濮州化工工业园</w:t>
      </w:r>
      <w:r>
        <w:rPr>
          <w:rFonts w:hint="eastAsia" w:ascii="Times New Roman" w:hAnsi="Times New Roman"/>
          <w:b w:val="0"/>
          <w:bCs/>
          <w:kern w:val="21"/>
          <w:sz w:val="21"/>
          <w:szCs w:val="21"/>
          <w:lang w:val="en-US" w:eastAsia="zh-CN"/>
        </w:rPr>
        <w:t xml:space="preserve">  </w:t>
      </w:r>
      <w:r>
        <w:rPr>
          <w:rFonts w:hint="eastAsia" w:ascii="Times New Roman" w:hAnsi="Times New Roman"/>
          <w:b/>
          <w:kern w:val="21"/>
          <w:sz w:val="21"/>
          <w:szCs w:val="21"/>
        </w:rPr>
        <w:t xml:space="preserve"> </w:t>
      </w:r>
      <w:r>
        <w:rPr>
          <w:rFonts w:hint="eastAsia" w:ascii="Times New Roman" w:hAnsi="Times New Roman"/>
          <w:b/>
          <w:kern w:val="21"/>
          <w:sz w:val="21"/>
          <w:szCs w:val="21"/>
          <w:lang w:val="en-US" w:eastAsia="zh-CN"/>
        </w:rPr>
        <w:t xml:space="preserve">  </w:t>
      </w:r>
      <w:r>
        <w:rPr>
          <w:rFonts w:ascii="Times New Roman" w:hAnsi="Times New Roman"/>
          <w:b/>
          <w:kern w:val="21"/>
          <w:sz w:val="21"/>
          <w:szCs w:val="21"/>
        </w:rPr>
        <w:t>地</w:t>
      </w:r>
      <w:r>
        <w:rPr>
          <w:rFonts w:hint="eastAsia" w:ascii="Times New Roman" w:hAnsi="Times New Roman"/>
          <w:b/>
          <w:kern w:val="21"/>
          <w:sz w:val="21"/>
          <w:szCs w:val="21"/>
          <w:lang w:val="en-US" w:eastAsia="zh-CN"/>
        </w:rPr>
        <w:t xml:space="preserve">  </w:t>
      </w:r>
      <w:r>
        <w:rPr>
          <w:rFonts w:ascii="Times New Roman" w:hAnsi="Times New Roman"/>
          <w:b/>
          <w:kern w:val="21"/>
          <w:sz w:val="21"/>
          <w:szCs w:val="21"/>
        </w:rPr>
        <w:t>址：</w:t>
      </w:r>
      <w:r>
        <w:rPr>
          <w:rFonts w:hint="eastAsia" w:ascii="Times New Roman" w:hAnsi="Times New Roman"/>
          <w:b w:val="0"/>
          <w:bCs/>
          <w:kern w:val="21"/>
          <w:sz w:val="21"/>
          <w:szCs w:val="21"/>
        </w:rPr>
        <w:t>郑州市高新区翠竹街总部企业基地59号5楼</w:t>
      </w:r>
    </w:p>
    <w:p>
      <w:pPr>
        <w:pStyle w:val="2"/>
        <w:rPr>
          <w:rFonts w:hint="eastAsia" w:eastAsia="宋体"/>
          <w:lang w:val="en-US" w:eastAsia="zh-CN"/>
        </w:rPr>
      </w:pPr>
      <w:r>
        <w:rPr>
          <w:rFonts w:hint="eastAsia"/>
          <w:lang w:val="en-US" w:eastAsia="zh-CN"/>
        </w:rPr>
        <w:t>1</w:t>
      </w:r>
      <w:r>
        <w:t xml:space="preserve">  </w:t>
      </w:r>
      <w:r>
        <w:rPr>
          <w:rFonts w:hint="eastAsia"/>
          <w:lang w:eastAsia="zh-CN"/>
        </w:rPr>
        <w:t>验收项目概况</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1、建设项目名称：60万吨/年中芳烃（柴油）加氢改质工程项目</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2、建设项目性质：新建项目</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3、建设单位：河南丰利石化有限公司</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4、建设地点：河南省濮阳市范县濮</w:t>
      </w:r>
      <w:r>
        <w:rPr>
          <w:rFonts w:hint="eastAsia"/>
          <w:sz w:val="24"/>
          <w:szCs w:val="24"/>
        </w:rPr>
        <w:t>洲化工工业园</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5、立项过程：</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立项时间2013年11月15日，批复单位：范县发展和改革委员会，文号豫濮范县工[2013]00090号。</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6、环评报告情况：</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《河南丰利石化有限公司60万吨/年中芳烃加氢改质工程环境影响报告书》由河南省正大环境科技咨询工程有限公司于2014年9编制完成，河南省环境保护厅于2014年11月10日以豫环审[2014]434号文予以批复。</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7、开工竣工情况：</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河南丰利石化有限公司60万吨/年中芳烃（柴油）加氢改质工程工程于2015年4月开工建设，于2016年09月竣工。</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8、验收任务由来：</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根据国务院令第682号《建设项目环境保护管理条例》，受河南丰利石化有限公司的委托，河南鑫安利职业健康科技有限公司承担了该工程现场监测及环境保护设施竣工验收监测报告编制工作。我公司于2017年10月31日派技术人员对该工程进行了现场勘察，根据工程实际建设情况、环评批复要求及有关环境监测技术规定制定了验收监测方案。</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依据验收监测方案，我公司于2017年11月3日~5日对该公司的相关项目进行了现场监测。并根据该工程执行环评批复及环评建议的落实情况，环保设施运行情况，环境管理检查结果以及污染物排放监测结果，对照有关国家标准，编制了本验收监测报告。</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验收范围及内容：</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河南丰利石化有限公司首先投资建设的10万吨/年丙烯及联产芳烃工程项目，但在建设过程中发现在建</w:t>
      </w:r>
      <w:r>
        <w:rPr>
          <w:bCs/>
          <w:sz w:val="24"/>
          <w:szCs w:val="24"/>
        </w:rPr>
        <w:t>工程的装置构成中缺少含硫中芳烃脱硫深加工手段，影响产品销售和经济效益；</w:t>
      </w:r>
      <w:r>
        <w:rPr>
          <w:sz w:val="24"/>
          <w:szCs w:val="24"/>
        </w:rPr>
        <w:t>同时依托裂解干气PSA制氢不能满足中芳烃装置完成后全厂对氢气的需求，故在项目预留空地上投资建设60万吨/年中芳烃加氢改质工程以满足生产需要，</w:t>
      </w:r>
      <w:r>
        <w:rPr>
          <w:kern w:val="1"/>
          <w:sz w:val="24"/>
          <w:szCs w:val="24"/>
        </w:rPr>
        <w:t>（10万吨/年丙烯及联产芳烃工程）</w:t>
      </w:r>
      <w:r>
        <w:rPr>
          <w:sz w:val="24"/>
          <w:szCs w:val="24"/>
        </w:rPr>
        <w:t>以进口重质燃料油为原料进行设计，但后因燃料油不能满足正常生产要求，所以利用现有厂区预留空地投资建设300万吨/年燃料油预处理工程项目，并已均备案、编制环评、由相关部门予以批复，300万吨/年燃料油预处理工程建成并投入运行后，建设内容存在与环评批复内容不符合情形，项目进行环境检测和环境影响后评价，并备案，建设内容改为260万吨/年原油预处理工程，本项目只针对60万吨/年中芳烃（柴油）加氢改质工程所涉及的环保设施，及其他公用设施进行验收。</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本项目位于范县濮州化工工业园区，主体工程为60万吨/年中芳烃（柴油）加氢改质装置、25000Nm</w:t>
      </w:r>
      <w:r>
        <w:rPr>
          <w:sz w:val="24"/>
          <w:szCs w:val="24"/>
          <w:vertAlign w:val="superscript"/>
        </w:rPr>
        <w:t>3</w:t>
      </w:r>
      <w:r>
        <w:rPr>
          <w:sz w:val="24"/>
          <w:szCs w:val="24"/>
        </w:rPr>
        <w:t>/h干气制氢装置，辅助及公用工程为供水、循环水系统、除盐水站、凝结水站、空压站、供、配电、供热储运工程为：罐区、输运，环保工程为污水处理站、硫磺回收装置、酸性水汽提装置、溶剂再生装置、事故储池及暂存间等。</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验收内容：</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（1）污水：本工程废水处置情况为检查内容。</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废气：工程中芳烃（柴油）加氢装置原料加热炉烟气，干气制氢的加热炉烟气，干气制氢转化炉废气以及装置不凝气以及生产装置区无组织排放等，为具体检查内容。</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噪声：本工程厂界噪声，为具体检测内容。</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固体废物：中芳烃（柴油）加氢装置、干气制氢装置产生的废催化剂、废吸附剂、废填料等以及污水处理站污泥为具体检查内容。</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2"/>
        <w:textAlignment w:val="auto"/>
        <w:outlineLvl w:val="9"/>
        <w:rPr>
          <w:sz w:val="24"/>
          <w:szCs w:val="24"/>
        </w:rPr>
      </w:pPr>
      <w:r>
        <w:rPr>
          <w:sz w:val="24"/>
          <w:szCs w:val="24"/>
        </w:rPr>
        <w:t>本工程环评及环评批复落实情况，环保设施的建设运行情况，环保机构及规章制度的建设情况，为本工程竣工验收的检查内容。</w:t>
      </w:r>
    </w:p>
    <w:p>
      <w:pPr>
        <w:pStyle w:val="2"/>
      </w:pPr>
      <w:r>
        <w:br w:type="page"/>
      </w:r>
    </w:p>
    <w:p>
      <w:pPr>
        <w:pStyle w:val="2"/>
      </w:pPr>
      <w:r>
        <w:t>2  验收依据</w:t>
      </w:r>
    </w:p>
    <w:p>
      <w:pPr>
        <w:pStyle w:val="3"/>
        <w:widowControl/>
        <w:adjustRightInd w:val="0"/>
        <w:snapToGrid w:val="0"/>
        <w:spacing w:before="120" w:after="120" w:line="360" w:lineRule="auto"/>
        <w:rPr>
          <w:rFonts w:ascii="Times New Roman" w:hAnsi="Times New Roman"/>
          <w:kern w:val="0"/>
        </w:rPr>
      </w:pPr>
      <w:r>
        <w:rPr>
          <w:rFonts w:ascii="Times New Roman" w:hAnsi="Times New Roman"/>
          <w:kern w:val="0"/>
        </w:rPr>
        <w:t>2.1  建设项目环境保护相关法律、法规、规章和规范：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1.《中华人民共和国环境保护法》（中华人民共和国主席令第9号，2015.1.1）；</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2.《中华人民共和国大气污染防治法》（中华人民共和国主席令第31号，2016.01.01）；</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3.《中华人民共和国水污染防治法》（中华人民共和国主席令第87号，2008.06.01）；</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4.《中华人民共和国固体废物污染环境防治法》（中华人民共和国主席令第31号，2005.04.01）；</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5.《中华人民共和国环境噪声污染防治法》（中华人民共和国主席令第77号，1997.03.01）；</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6.河南省环保厅关于进一步加强和规范建设项目竣工环保验收公众参与的通知（豫环文【2014】79号，2014.05.15）；</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7.《建设项目环境保护管理条例》（国务院第682号令，2017.10.01）；</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8.《建设项目竣工环境保护验收暂行办法》（国环规环评【2017】4号，2017.11.20）。</w:t>
      </w:r>
    </w:p>
    <w:p>
      <w:pPr>
        <w:pStyle w:val="3"/>
      </w:pPr>
      <w:r>
        <w:t>2.2  建设项目竣工环境保护验收技术规范；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1. 《环境影响评价技术导则 总纲》（HJ2.1-2016）；</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2. 《环境影响评价技术导则 大气环境》（HJ2.2-2008）；</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3. 《环境影响评价技术导则 地面水环境》（HJ/T2.3-93）；</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4. 《环境影响评价技术导则 地下水环境》（HJ610-2016）；</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5. 《环境影响评价技术导则 声环境》（HJ2.4-2009）；</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6. 《建设项目环境风险评价技术导则》（HJ/T169-2004）；</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7. 《制定地方大气污染物排放标准的技术原则与方法》（GB/T13201-91）；</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8. 《危险化学品重大危险源辨识》（GB18218-2009）；</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9. 《一般工业固体废物贮存、处置场污染控制标准》（GB18599-2001）；</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10. 《危险废物贮存污染控制标准》（GB18597-2001）；</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11. 《环境空气质量标准》（GB3095-2012）；</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12. 《污水综合排放标准》（GB8978-1996）；</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13. 《石油炼制工业污染物排放标准》（GB31570-2015）；</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14. 《工业企业厂界环境噪声排放标准》（GB12348-2008）；</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15. 《地下水质量标准》（GB/T14848-93）；</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16. 《大气污染物无组织排放监测技术导则》（HJ/T 55-2000）；</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17. 《水污染排放总量监测技术规范》（HJ/T 92-2002）；</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18. 《地下水环境监测技术规范》（HJ/T 164-2004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19. 《水污染源在线监测系统验收技术规范》（HJ/T 354-2007）；</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20. 《固定污染源监测质量保证及质量控制技术规范》（HJ/T 373-2007）；</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21. 《固定污染源烟气排放连续监测系统技术要求及检测方法（试行）》（HJ/T76-2007）；</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22. 《建设项目环境保护验收技术指南 污染影响类（征求意见稿）》；</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sz w:val="24"/>
          <w:szCs w:val="24"/>
          <w:lang w:val="en-US" w:eastAsia="zh-CN"/>
        </w:rPr>
      </w:pPr>
      <w:r>
        <w:rPr>
          <w:rFonts w:hint="eastAsia"/>
          <w:sz w:val="24"/>
          <w:szCs w:val="24"/>
          <w:lang w:val="en-US" w:eastAsia="zh-CN"/>
        </w:rPr>
        <w:t>23. 《建设项目竣工环境保护验收技术规范 石油炼制》（HJ/T405-2007）；</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ins w:id="0" w:author="在水一方" w:date="2018-08-25T16:52:09Z"/>
          <w:rFonts w:hint="eastAsia"/>
          <w:sz w:val="24"/>
          <w:szCs w:val="24"/>
          <w:lang w:val="en-US" w:eastAsia="zh-CN"/>
        </w:rPr>
      </w:pPr>
      <w:r>
        <w:rPr>
          <w:rFonts w:hint="eastAsia"/>
          <w:sz w:val="24"/>
          <w:szCs w:val="24"/>
          <w:lang w:val="en-US" w:eastAsia="zh-CN"/>
        </w:rPr>
        <w:t>24. 《环评管理中部分行业建设项目重大变动清单》（环办【2015】52号，2015.06.04）。</w:t>
      </w:r>
    </w:p>
    <w:p>
      <w:pPr>
        <w:pStyle w:val="3"/>
      </w:pPr>
      <w:r>
        <w:t>2.3  建设项目环境影响评价文件及审批部门审批决定。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sz w:val="24"/>
          <w:szCs w:val="24"/>
        </w:rPr>
      </w:pPr>
      <w:r>
        <w:rPr>
          <w:rFonts w:hint="eastAsia"/>
          <w:sz w:val="24"/>
          <w:szCs w:val="24"/>
          <w:lang w:val="en-US" w:eastAsia="zh-CN"/>
        </w:rPr>
        <w:t>1、</w:t>
      </w:r>
      <w:r>
        <w:rPr>
          <w:sz w:val="24"/>
          <w:szCs w:val="24"/>
        </w:rPr>
        <w:t>《河南丰利石化有限公司60万吨/年中芳烃加氢改质工程项目》备案确认书（范县发展改革委员会）；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sz w:val="24"/>
          <w:szCs w:val="24"/>
        </w:rPr>
      </w:pPr>
      <w:r>
        <w:rPr>
          <w:rFonts w:hint="eastAsia"/>
          <w:sz w:val="24"/>
          <w:szCs w:val="24"/>
          <w:lang w:val="en-US" w:eastAsia="zh-CN"/>
        </w:rPr>
        <w:t>2、</w:t>
      </w:r>
      <w:r>
        <w:rPr>
          <w:sz w:val="24"/>
          <w:szCs w:val="24"/>
        </w:rPr>
        <w:t>《河南丰利石化有限公司60万吨/年中芳烃加氢改质工程项目可行性研究报告》（上海河图石化工程有限公司，2012.11）；</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sz w:val="24"/>
          <w:szCs w:val="24"/>
        </w:rPr>
      </w:pPr>
      <w:r>
        <w:rPr>
          <w:rFonts w:hint="eastAsia"/>
          <w:sz w:val="24"/>
          <w:szCs w:val="24"/>
          <w:lang w:val="en-US" w:eastAsia="zh-CN"/>
        </w:rPr>
        <w:t>3、</w:t>
      </w:r>
      <w:r>
        <w:rPr>
          <w:sz w:val="24"/>
          <w:szCs w:val="24"/>
        </w:rPr>
        <w:t>范县环境保护局《关于河南丰利石化有限公司60万吨/年中芳烃加氢改质工程项目环境影响评价执行标准意见的函》（2014.3）；</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sz w:val="24"/>
          <w:szCs w:val="24"/>
        </w:rPr>
      </w:pPr>
      <w:r>
        <w:rPr>
          <w:rFonts w:hint="eastAsia"/>
          <w:sz w:val="24"/>
          <w:szCs w:val="24"/>
          <w:lang w:val="en-US" w:eastAsia="zh-CN"/>
        </w:rPr>
        <w:t>4、</w:t>
      </w:r>
      <w:r>
        <w:rPr>
          <w:sz w:val="24"/>
          <w:szCs w:val="24"/>
        </w:rPr>
        <w:t>《河南丰利石化有限公司60万吨/年中芳烃加氢改质工程环境影响报告书》(河南省正大环境科技咨询工程有限公司)，2014.8；</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sz w:val="24"/>
          <w:szCs w:val="24"/>
        </w:rPr>
      </w:pPr>
      <w:r>
        <w:rPr>
          <w:rFonts w:hint="eastAsia"/>
          <w:sz w:val="24"/>
          <w:szCs w:val="24"/>
          <w:lang w:val="en-US" w:eastAsia="zh-CN"/>
        </w:rPr>
        <w:t>5、</w:t>
      </w:r>
      <w:r>
        <w:rPr>
          <w:sz w:val="24"/>
          <w:szCs w:val="24"/>
        </w:rPr>
        <w:t>《范县濮州化工工业园区发展规划环境影响报告书（报批版）》2010.12；</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sz w:val="24"/>
          <w:szCs w:val="24"/>
        </w:rPr>
      </w:pPr>
      <w:r>
        <w:rPr>
          <w:rFonts w:hint="eastAsia"/>
          <w:sz w:val="24"/>
          <w:szCs w:val="24"/>
          <w:lang w:val="en-US" w:eastAsia="zh-CN"/>
        </w:rPr>
        <w:t>6、</w:t>
      </w:r>
      <w:r>
        <w:rPr>
          <w:sz w:val="24"/>
          <w:szCs w:val="24"/>
        </w:rPr>
        <w:t>《河南丰利石化有限公司60万吨/年中芳烃加氢改质工程环境影响报告书的批复》，2014.11.10</w:t>
      </w:r>
      <w:r>
        <w:rPr>
          <w:rFonts w:hint="eastAsia"/>
          <w:sz w:val="24"/>
          <w:szCs w:val="24"/>
          <w:lang w:eastAsia="zh-CN"/>
        </w:rPr>
        <w:t>。</w:t>
      </w:r>
    </w:p>
    <w:p>
      <w:pPr>
        <w:overflowPunct w:val="0"/>
        <w:topLinePunct/>
        <w:spacing w:line="590" w:lineRule="exact"/>
        <w:ind w:firstLine="640" w:firstLineChars="200"/>
        <w:rPr>
          <w:rFonts w:ascii="Times New Roman" w:hAnsi="Times New Roman" w:eastAsia="方正黑体_GBK"/>
          <w:b/>
          <w:sz w:val="32"/>
          <w:szCs w:val="32"/>
        </w:rPr>
      </w:pPr>
      <w:r>
        <w:rPr>
          <w:rFonts w:ascii="Times New Roman" w:hAnsi="Times New Roman" w:eastAsia="方正黑体_GBK"/>
          <w:b/>
          <w:sz w:val="32"/>
          <w:szCs w:val="32"/>
        </w:rPr>
        <w:br w:type="page"/>
      </w:r>
    </w:p>
    <w:p>
      <w:pPr>
        <w:pStyle w:val="2"/>
      </w:pPr>
      <w:r>
        <w:t>3  工程建设情况</w:t>
      </w:r>
    </w:p>
    <w:p>
      <w:pPr>
        <w:pStyle w:val="3"/>
      </w:pPr>
      <w:r>
        <w:t>3.1  地理位置及平面布置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河南丰利石化有限公司位于濮城镇西北部的范县濮州化工工业园内，（经纬度，经度：115.39°，纬度：35.72°）北有省道101线、濮台公路，南有汤台铁路（山西朔州到山东日照的万吨重载铁路支线），毗邻中原油田，有着丰富的原料来源及优越的交通优势。项目所在地主要环境敏感目标见表</w:t>
      </w:r>
      <w:r>
        <w:rPr>
          <w:rFonts w:hint="eastAsia"/>
          <w:sz w:val="24"/>
          <w:szCs w:val="24"/>
          <w:lang w:val="en-US" w:eastAsia="zh-CN"/>
        </w:rPr>
        <w:t>1</w:t>
      </w:r>
      <w:r>
        <w:rPr>
          <w:sz w:val="24"/>
          <w:szCs w:val="24"/>
        </w:rPr>
        <w:t>：项目地理位置图见附图1，厂区平面布置图见附图2，厂区周边环境图见附图3，项目监测点位图见附图4。</w:t>
      </w:r>
    </w:p>
    <w:p>
      <w:pPr>
        <w:pStyle w:val="12"/>
        <w:spacing w:after="120" w:afterLines="50"/>
        <w:ind w:firstLine="0" w:firstLineChars="0"/>
      </w:pPr>
      <w:r>
        <w:t>表</w:t>
      </w:r>
      <w:r>
        <w:rPr>
          <w:rFonts w:hint="eastAsia"/>
          <w:lang w:val="en-US" w:eastAsia="zh-CN"/>
        </w:rPr>
        <w:t>1</w:t>
      </w:r>
      <w:r>
        <w:t xml:space="preserve">   项目所在地主要敏感目标</w:t>
      </w:r>
    </w:p>
    <w:tbl>
      <w:tblPr>
        <w:tblStyle w:val="10"/>
        <w:tblW w:w="8842" w:type="dxa"/>
        <w:jc w:val="center"/>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
      <w:tblGrid>
        <w:gridCol w:w="1478"/>
        <w:gridCol w:w="3989"/>
        <w:gridCol w:w="3375"/>
      </w:tblGrid>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00" w:hRule="atLeast"/>
          <w:tblHeader/>
          <w:jc w:val="center"/>
        </w:trPr>
        <w:tc>
          <w:tcPr>
            <w:tcW w:w="1478" w:type="dxa"/>
            <w:vMerge w:val="restart"/>
            <w:tcBorders>
              <w:top w:val="double" w:color="000000" w:sz="4" w:space="0"/>
              <w:left w:val="nil"/>
              <w:bottom w:val="single" w:color="000000" w:sz="4" w:space="0"/>
            </w:tcBorders>
            <w:vAlign w:val="center"/>
          </w:tcPr>
          <w:p>
            <w:pPr>
              <w:spacing w:line="300" w:lineRule="exact"/>
              <w:ind w:firstLine="0" w:firstLineChars="0"/>
              <w:jc w:val="center"/>
              <w:rPr>
                <w:b/>
                <w:bCs/>
                <w:kern w:val="1"/>
                <w:sz w:val="21"/>
                <w:szCs w:val="21"/>
              </w:rPr>
            </w:pPr>
            <w:r>
              <w:rPr>
                <w:b/>
                <w:bCs/>
                <w:kern w:val="1"/>
                <w:sz w:val="21"/>
                <w:szCs w:val="21"/>
              </w:rPr>
              <w:t>环境要素</w:t>
            </w:r>
          </w:p>
        </w:tc>
        <w:tc>
          <w:tcPr>
            <w:tcW w:w="3989" w:type="dxa"/>
            <w:vMerge w:val="restart"/>
            <w:tcBorders>
              <w:top w:val="double" w:color="000000" w:sz="4" w:space="0"/>
              <w:bottom w:val="single" w:color="000000" w:sz="4" w:space="0"/>
              <w:right w:val="single" w:color="auto" w:sz="4" w:space="0"/>
            </w:tcBorders>
            <w:vAlign w:val="center"/>
          </w:tcPr>
          <w:p>
            <w:pPr>
              <w:spacing w:line="300" w:lineRule="exact"/>
              <w:ind w:firstLine="0" w:firstLineChars="0"/>
              <w:jc w:val="center"/>
              <w:rPr>
                <w:b/>
                <w:bCs/>
                <w:kern w:val="1"/>
                <w:sz w:val="21"/>
                <w:szCs w:val="21"/>
              </w:rPr>
            </w:pPr>
            <w:r>
              <w:rPr>
                <w:b/>
                <w:bCs/>
                <w:kern w:val="1"/>
                <w:sz w:val="21"/>
                <w:szCs w:val="21"/>
              </w:rPr>
              <w:t>保护对象</w:t>
            </w:r>
          </w:p>
        </w:tc>
        <w:tc>
          <w:tcPr>
            <w:tcW w:w="3375" w:type="dxa"/>
            <w:vMerge w:val="restart"/>
            <w:tcBorders>
              <w:top w:val="double" w:color="000000" w:sz="4" w:space="0"/>
              <w:left w:val="single" w:color="auto" w:sz="4" w:space="0"/>
              <w:bottom w:val="single" w:color="000000" w:sz="4" w:space="0"/>
            </w:tcBorders>
            <w:vAlign w:val="center"/>
          </w:tcPr>
          <w:p>
            <w:pPr>
              <w:spacing w:line="300" w:lineRule="exact"/>
              <w:ind w:firstLine="0" w:firstLineChars="0"/>
              <w:jc w:val="center"/>
              <w:rPr>
                <w:b/>
                <w:bCs/>
                <w:kern w:val="1"/>
                <w:sz w:val="21"/>
                <w:szCs w:val="21"/>
              </w:rPr>
            </w:pPr>
            <w:r>
              <w:rPr>
                <w:b/>
                <w:bCs/>
                <w:kern w:val="1"/>
                <w:sz w:val="21"/>
                <w:szCs w:val="21"/>
              </w:rPr>
              <w:t>与厂址相对方位及距离（m）</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12" w:hRule="exact"/>
          <w:jc w:val="center"/>
        </w:trPr>
        <w:tc>
          <w:tcPr>
            <w:tcW w:w="1478" w:type="dxa"/>
            <w:vMerge w:val="continue"/>
            <w:tcBorders>
              <w:top w:val="single" w:color="000000" w:sz="4" w:space="0"/>
              <w:left w:val="nil"/>
              <w:bottom w:val="single" w:color="000000" w:sz="4" w:space="0"/>
            </w:tcBorders>
            <w:vAlign w:val="center"/>
          </w:tcPr>
          <w:p>
            <w:pPr>
              <w:spacing w:before="50" w:after="50"/>
              <w:ind w:firstLine="0" w:firstLineChars="0"/>
              <w:jc w:val="center"/>
              <w:rPr>
                <w:kern w:val="2"/>
                <w:sz w:val="21"/>
                <w:szCs w:val="21"/>
              </w:rPr>
            </w:pPr>
          </w:p>
        </w:tc>
        <w:tc>
          <w:tcPr>
            <w:tcW w:w="3989" w:type="dxa"/>
            <w:vMerge w:val="continue"/>
            <w:tcBorders>
              <w:top w:val="single" w:color="000000" w:sz="4" w:space="0"/>
              <w:bottom w:val="single" w:color="000000" w:sz="4" w:space="0"/>
              <w:right w:val="single" w:color="auto" w:sz="4" w:space="0"/>
            </w:tcBorders>
            <w:vAlign w:val="center"/>
          </w:tcPr>
          <w:p>
            <w:pPr>
              <w:spacing w:before="50" w:after="50"/>
              <w:ind w:firstLine="0" w:firstLineChars="0"/>
              <w:jc w:val="center"/>
              <w:rPr>
                <w:kern w:val="2"/>
                <w:sz w:val="21"/>
                <w:szCs w:val="21"/>
              </w:rPr>
            </w:pPr>
          </w:p>
        </w:tc>
        <w:tc>
          <w:tcPr>
            <w:tcW w:w="3375" w:type="dxa"/>
            <w:vMerge w:val="continue"/>
            <w:tcBorders>
              <w:top w:val="single" w:color="000000" w:sz="4" w:space="0"/>
              <w:left w:val="single" w:color="auto" w:sz="4" w:space="0"/>
              <w:bottom w:val="single" w:color="000000" w:sz="4" w:space="0"/>
            </w:tcBorders>
            <w:vAlign w:val="center"/>
          </w:tcPr>
          <w:p>
            <w:pPr>
              <w:spacing w:before="50" w:after="50"/>
              <w:ind w:firstLine="0" w:firstLineChars="0"/>
              <w:jc w:val="center"/>
              <w:rPr>
                <w:kern w:val="2"/>
                <w:sz w:val="21"/>
                <w:szCs w:val="21"/>
              </w:rPr>
            </w:pP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vMerge w:val="restart"/>
            <w:tcBorders>
              <w:top w:val="single" w:color="000000" w:sz="4" w:space="0"/>
              <w:left w:val="nil"/>
            </w:tcBorders>
            <w:vAlign w:val="center"/>
          </w:tcPr>
          <w:p>
            <w:pPr>
              <w:spacing w:line="300" w:lineRule="exact"/>
              <w:ind w:firstLine="0" w:firstLineChars="0"/>
              <w:jc w:val="center"/>
              <w:rPr>
                <w:kern w:val="1"/>
                <w:sz w:val="21"/>
                <w:szCs w:val="21"/>
              </w:rPr>
            </w:pPr>
            <w:r>
              <w:rPr>
                <w:kern w:val="1"/>
                <w:sz w:val="21"/>
                <w:szCs w:val="21"/>
              </w:rPr>
              <w:t>环境空气</w:t>
            </w:r>
          </w:p>
        </w:tc>
        <w:tc>
          <w:tcPr>
            <w:tcW w:w="3989" w:type="dxa"/>
            <w:tcBorders>
              <w:top w:val="single" w:color="000000" w:sz="4" w:space="0"/>
              <w:bottom w:val="sing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高庄</w:t>
            </w:r>
          </w:p>
        </w:tc>
        <w:tc>
          <w:tcPr>
            <w:tcW w:w="3375" w:type="dxa"/>
            <w:tcBorders>
              <w:top w:val="single" w:color="000000" w:sz="4" w:space="0"/>
              <w:left w:val="single" w:color="auto" w:sz="4" w:space="0"/>
              <w:bottom w:val="single" w:color="000000" w:sz="4" w:space="0"/>
            </w:tcBorders>
            <w:vAlign w:val="center"/>
          </w:tcPr>
          <w:p>
            <w:pPr>
              <w:spacing w:line="300" w:lineRule="exact"/>
              <w:ind w:firstLine="0" w:firstLineChars="0"/>
              <w:jc w:val="center"/>
              <w:rPr>
                <w:kern w:val="1"/>
                <w:sz w:val="21"/>
                <w:szCs w:val="21"/>
              </w:rPr>
            </w:pPr>
            <w:r>
              <w:rPr>
                <w:kern w:val="1"/>
                <w:sz w:val="21"/>
                <w:szCs w:val="21"/>
              </w:rPr>
              <w:t>S 、516</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vMerge w:val="continue"/>
            <w:tcBorders>
              <w:left w:val="nil"/>
            </w:tcBorders>
            <w:vAlign w:val="center"/>
          </w:tcPr>
          <w:p>
            <w:pPr>
              <w:spacing w:before="50" w:after="50"/>
              <w:ind w:firstLine="0" w:firstLineChars="0"/>
              <w:jc w:val="center"/>
              <w:rPr>
                <w:kern w:val="2"/>
                <w:sz w:val="21"/>
                <w:szCs w:val="21"/>
              </w:rPr>
            </w:pPr>
          </w:p>
        </w:tc>
        <w:tc>
          <w:tcPr>
            <w:tcW w:w="3989" w:type="dxa"/>
            <w:tcBorders>
              <w:top w:val="single" w:color="000000" w:sz="4" w:space="0"/>
              <w:bottom w:val="sing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王路庄</w:t>
            </w:r>
          </w:p>
        </w:tc>
        <w:tc>
          <w:tcPr>
            <w:tcW w:w="3375" w:type="dxa"/>
            <w:tcBorders>
              <w:top w:val="single" w:color="000000" w:sz="4" w:space="0"/>
              <w:left w:val="single" w:color="auto" w:sz="4" w:space="0"/>
              <w:bottom w:val="single" w:color="000000" w:sz="4" w:space="0"/>
            </w:tcBorders>
            <w:vAlign w:val="center"/>
          </w:tcPr>
          <w:p>
            <w:pPr>
              <w:spacing w:line="300" w:lineRule="exact"/>
              <w:ind w:firstLine="0" w:firstLineChars="0"/>
              <w:jc w:val="center"/>
              <w:rPr>
                <w:kern w:val="1"/>
                <w:sz w:val="21"/>
                <w:szCs w:val="21"/>
              </w:rPr>
            </w:pPr>
            <w:r>
              <w:rPr>
                <w:kern w:val="1"/>
                <w:sz w:val="21"/>
                <w:szCs w:val="21"/>
              </w:rPr>
              <w:t>S 、700</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vMerge w:val="continue"/>
            <w:tcBorders>
              <w:left w:val="nil"/>
            </w:tcBorders>
            <w:vAlign w:val="center"/>
          </w:tcPr>
          <w:p>
            <w:pPr>
              <w:spacing w:before="50" w:after="50"/>
              <w:ind w:firstLine="0" w:firstLineChars="0"/>
              <w:jc w:val="center"/>
              <w:rPr>
                <w:kern w:val="2"/>
                <w:sz w:val="21"/>
                <w:szCs w:val="21"/>
              </w:rPr>
            </w:pPr>
          </w:p>
        </w:tc>
        <w:tc>
          <w:tcPr>
            <w:tcW w:w="3989" w:type="dxa"/>
            <w:tcBorders>
              <w:top w:val="single" w:color="000000" w:sz="4" w:space="0"/>
              <w:bottom w:val="sing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邢庄</w:t>
            </w:r>
          </w:p>
        </w:tc>
        <w:tc>
          <w:tcPr>
            <w:tcW w:w="3375" w:type="dxa"/>
            <w:tcBorders>
              <w:top w:val="single" w:color="000000" w:sz="4" w:space="0"/>
              <w:left w:val="single" w:color="auto" w:sz="4" w:space="0"/>
              <w:bottom w:val="single" w:color="000000" w:sz="4" w:space="0"/>
            </w:tcBorders>
            <w:vAlign w:val="center"/>
          </w:tcPr>
          <w:p>
            <w:pPr>
              <w:spacing w:line="300" w:lineRule="exact"/>
              <w:ind w:firstLine="0" w:firstLineChars="0"/>
              <w:jc w:val="center"/>
              <w:rPr>
                <w:kern w:val="1"/>
                <w:sz w:val="21"/>
                <w:szCs w:val="21"/>
              </w:rPr>
            </w:pPr>
            <w:r>
              <w:rPr>
                <w:kern w:val="1"/>
                <w:sz w:val="21"/>
                <w:szCs w:val="21"/>
              </w:rPr>
              <w:t>S 、500</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vMerge w:val="continue"/>
            <w:tcBorders>
              <w:left w:val="nil"/>
            </w:tcBorders>
            <w:vAlign w:val="center"/>
          </w:tcPr>
          <w:p>
            <w:pPr>
              <w:spacing w:before="50" w:after="50"/>
              <w:ind w:firstLine="0" w:firstLineChars="0"/>
              <w:jc w:val="center"/>
              <w:rPr>
                <w:kern w:val="2"/>
                <w:sz w:val="21"/>
                <w:szCs w:val="21"/>
              </w:rPr>
            </w:pPr>
          </w:p>
        </w:tc>
        <w:tc>
          <w:tcPr>
            <w:tcW w:w="3989" w:type="dxa"/>
            <w:tcBorders>
              <w:top w:val="single" w:color="000000" w:sz="4" w:space="0"/>
              <w:bottom w:val="sing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沈庄</w:t>
            </w:r>
          </w:p>
        </w:tc>
        <w:tc>
          <w:tcPr>
            <w:tcW w:w="3375" w:type="dxa"/>
            <w:tcBorders>
              <w:top w:val="single" w:color="000000" w:sz="4" w:space="0"/>
              <w:left w:val="single" w:color="auto" w:sz="4" w:space="0"/>
              <w:bottom w:val="single" w:color="000000" w:sz="4" w:space="0"/>
            </w:tcBorders>
            <w:vAlign w:val="center"/>
          </w:tcPr>
          <w:p>
            <w:pPr>
              <w:spacing w:line="300" w:lineRule="exact"/>
              <w:ind w:firstLine="0" w:firstLineChars="0"/>
              <w:jc w:val="center"/>
              <w:rPr>
                <w:kern w:val="1"/>
                <w:sz w:val="21"/>
                <w:szCs w:val="21"/>
              </w:rPr>
            </w:pPr>
            <w:r>
              <w:rPr>
                <w:kern w:val="1"/>
                <w:sz w:val="21"/>
                <w:szCs w:val="21"/>
              </w:rPr>
              <w:t>SE、810</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vMerge w:val="continue"/>
            <w:tcBorders>
              <w:left w:val="nil"/>
            </w:tcBorders>
            <w:vAlign w:val="center"/>
          </w:tcPr>
          <w:p>
            <w:pPr>
              <w:spacing w:before="50" w:after="50"/>
              <w:ind w:firstLine="0" w:firstLineChars="0"/>
              <w:jc w:val="center"/>
              <w:rPr>
                <w:kern w:val="2"/>
                <w:sz w:val="21"/>
                <w:szCs w:val="21"/>
              </w:rPr>
            </w:pPr>
          </w:p>
        </w:tc>
        <w:tc>
          <w:tcPr>
            <w:tcW w:w="3989" w:type="dxa"/>
            <w:tcBorders>
              <w:top w:val="single" w:color="000000" w:sz="4" w:space="0"/>
              <w:bottom w:val="sing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宋海</w:t>
            </w:r>
          </w:p>
        </w:tc>
        <w:tc>
          <w:tcPr>
            <w:tcW w:w="3375" w:type="dxa"/>
            <w:tcBorders>
              <w:top w:val="single" w:color="000000" w:sz="4" w:space="0"/>
              <w:left w:val="single" w:color="auto" w:sz="4" w:space="0"/>
              <w:bottom w:val="single" w:color="000000" w:sz="4" w:space="0"/>
            </w:tcBorders>
            <w:vAlign w:val="center"/>
          </w:tcPr>
          <w:p>
            <w:pPr>
              <w:spacing w:line="300" w:lineRule="exact"/>
              <w:ind w:firstLine="0" w:firstLineChars="0"/>
              <w:jc w:val="center"/>
              <w:rPr>
                <w:kern w:val="1"/>
                <w:sz w:val="21"/>
                <w:szCs w:val="21"/>
              </w:rPr>
            </w:pPr>
            <w:r>
              <w:rPr>
                <w:kern w:val="1"/>
                <w:sz w:val="21"/>
                <w:szCs w:val="21"/>
              </w:rPr>
              <w:t>N、1250</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vMerge w:val="continue"/>
            <w:tcBorders>
              <w:left w:val="nil"/>
            </w:tcBorders>
            <w:vAlign w:val="center"/>
          </w:tcPr>
          <w:p>
            <w:pPr>
              <w:spacing w:before="50" w:after="50"/>
              <w:ind w:firstLine="0" w:firstLineChars="0"/>
              <w:jc w:val="center"/>
              <w:rPr>
                <w:kern w:val="2"/>
                <w:sz w:val="21"/>
                <w:szCs w:val="21"/>
              </w:rPr>
            </w:pPr>
          </w:p>
        </w:tc>
        <w:tc>
          <w:tcPr>
            <w:tcW w:w="3989" w:type="dxa"/>
            <w:tcBorders>
              <w:top w:val="single" w:color="000000" w:sz="4" w:space="0"/>
              <w:bottom w:val="sing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碱王庄</w:t>
            </w:r>
          </w:p>
        </w:tc>
        <w:tc>
          <w:tcPr>
            <w:tcW w:w="3375" w:type="dxa"/>
            <w:tcBorders>
              <w:top w:val="single" w:color="000000" w:sz="4" w:space="0"/>
              <w:left w:val="single" w:color="auto" w:sz="4" w:space="0"/>
              <w:bottom w:val="single" w:color="000000" w:sz="4" w:space="0"/>
            </w:tcBorders>
            <w:vAlign w:val="center"/>
          </w:tcPr>
          <w:p>
            <w:pPr>
              <w:spacing w:line="300" w:lineRule="exact"/>
              <w:ind w:firstLine="0" w:firstLineChars="0"/>
              <w:jc w:val="center"/>
              <w:rPr>
                <w:kern w:val="1"/>
                <w:sz w:val="21"/>
                <w:szCs w:val="21"/>
              </w:rPr>
            </w:pPr>
            <w:r>
              <w:rPr>
                <w:kern w:val="1"/>
                <w:sz w:val="21"/>
                <w:szCs w:val="21"/>
              </w:rPr>
              <w:t>NW、700</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vMerge w:val="continue"/>
            <w:tcBorders>
              <w:left w:val="nil"/>
            </w:tcBorders>
            <w:vAlign w:val="center"/>
          </w:tcPr>
          <w:p>
            <w:pPr>
              <w:spacing w:before="50" w:after="50"/>
              <w:ind w:firstLine="0" w:firstLineChars="0"/>
              <w:jc w:val="center"/>
              <w:rPr>
                <w:kern w:val="2"/>
                <w:sz w:val="21"/>
                <w:szCs w:val="21"/>
              </w:rPr>
            </w:pPr>
          </w:p>
        </w:tc>
        <w:tc>
          <w:tcPr>
            <w:tcW w:w="3989" w:type="dxa"/>
            <w:tcBorders>
              <w:top w:val="single" w:color="000000" w:sz="4" w:space="0"/>
              <w:bottom w:val="sing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宗郭庙</w:t>
            </w:r>
          </w:p>
        </w:tc>
        <w:tc>
          <w:tcPr>
            <w:tcW w:w="3375" w:type="dxa"/>
            <w:tcBorders>
              <w:top w:val="single" w:color="000000" w:sz="4" w:space="0"/>
              <w:left w:val="single" w:color="auto" w:sz="4" w:space="0"/>
              <w:bottom w:val="single" w:color="000000" w:sz="4" w:space="0"/>
            </w:tcBorders>
            <w:vAlign w:val="center"/>
          </w:tcPr>
          <w:p>
            <w:pPr>
              <w:spacing w:line="300" w:lineRule="exact"/>
              <w:ind w:firstLine="0" w:firstLineChars="0"/>
              <w:jc w:val="center"/>
              <w:rPr>
                <w:kern w:val="1"/>
                <w:sz w:val="21"/>
                <w:szCs w:val="21"/>
              </w:rPr>
            </w:pPr>
            <w:r>
              <w:rPr>
                <w:kern w:val="1"/>
                <w:sz w:val="21"/>
                <w:szCs w:val="21"/>
              </w:rPr>
              <w:t>SW、740</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vMerge w:val="continue"/>
            <w:tcBorders>
              <w:left w:val="nil"/>
            </w:tcBorders>
            <w:vAlign w:val="center"/>
          </w:tcPr>
          <w:p>
            <w:pPr>
              <w:spacing w:before="50" w:after="50"/>
              <w:ind w:firstLine="0" w:firstLineChars="0"/>
              <w:jc w:val="center"/>
              <w:rPr>
                <w:kern w:val="2"/>
                <w:sz w:val="21"/>
                <w:szCs w:val="21"/>
              </w:rPr>
            </w:pPr>
          </w:p>
        </w:tc>
        <w:tc>
          <w:tcPr>
            <w:tcW w:w="3989" w:type="dxa"/>
            <w:tcBorders>
              <w:top w:val="single" w:color="000000" w:sz="4" w:space="0"/>
              <w:bottom w:val="sing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濮城镇</w:t>
            </w:r>
          </w:p>
        </w:tc>
        <w:tc>
          <w:tcPr>
            <w:tcW w:w="3375" w:type="dxa"/>
            <w:tcBorders>
              <w:top w:val="single" w:color="000000" w:sz="4" w:space="0"/>
              <w:left w:val="single" w:color="auto" w:sz="4" w:space="0"/>
              <w:bottom w:val="single" w:color="000000" w:sz="4" w:space="0"/>
            </w:tcBorders>
            <w:vAlign w:val="center"/>
          </w:tcPr>
          <w:p>
            <w:pPr>
              <w:spacing w:line="300" w:lineRule="exact"/>
              <w:ind w:firstLine="0" w:firstLineChars="0"/>
              <w:jc w:val="center"/>
              <w:rPr>
                <w:kern w:val="1"/>
                <w:sz w:val="21"/>
                <w:szCs w:val="21"/>
              </w:rPr>
            </w:pPr>
            <w:r>
              <w:rPr>
                <w:kern w:val="1"/>
                <w:sz w:val="21"/>
                <w:szCs w:val="21"/>
              </w:rPr>
              <w:t>SE、2500</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vMerge w:val="continue"/>
            <w:tcBorders>
              <w:left w:val="nil"/>
              <w:bottom w:val="single" w:color="000000" w:sz="4" w:space="0"/>
            </w:tcBorders>
            <w:vAlign w:val="center"/>
          </w:tcPr>
          <w:p>
            <w:pPr>
              <w:spacing w:before="50" w:after="50"/>
              <w:ind w:firstLine="0" w:firstLineChars="0"/>
              <w:jc w:val="center"/>
              <w:rPr>
                <w:kern w:val="2"/>
                <w:sz w:val="21"/>
                <w:szCs w:val="21"/>
              </w:rPr>
            </w:pPr>
          </w:p>
        </w:tc>
        <w:tc>
          <w:tcPr>
            <w:tcW w:w="3989" w:type="dxa"/>
            <w:tcBorders>
              <w:top w:val="single" w:color="000000" w:sz="4" w:space="0"/>
              <w:bottom w:val="sing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宗郭庙允平小学</w:t>
            </w:r>
          </w:p>
        </w:tc>
        <w:tc>
          <w:tcPr>
            <w:tcW w:w="3375" w:type="dxa"/>
            <w:tcBorders>
              <w:top w:val="single" w:color="000000" w:sz="4" w:space="0"/>
              <w:left w:val="single" w:color="auto" w:sz="4" w:space="0"/>
              <w:bottom w:val="single" w:color="000000" w:sz="4" w:space="0"/>
            </w:tcBorders>
            <w:vAlign w:val="center"/>
          </w:tcPr>
          <w:p>
            <w:pPr>
              <w:spacing w:line="300" w:lineRule="exact"/>
              <w:ind w:firstLine="0" w:firstLineChars="0"/>
              <w:jc w:val="center"/>
              <w:rPr>
                <w:kern w:val="1"/>
                <w:sz w:val="21"/>
                <w:szCs w:val="21"/>
              </w:rPr>
            </w:pPr>
            <w:r>
              <w:rPr>
                <w:kern w:val="1"/>
                <w:sz w:val="21"/>
                <w:szCs w:val="21"/>
              </w:rPr>
              <w:t>SW、1100</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vMerge w:val="restart"/>
            <w:tcBorders>
              <w:top w:val="single" w:color="000000" w:sz="4" w:space="0"/>
              <w:left w:val="nil"/>
            </w:tcBorders>
            <w:vAlign w:val="center"/>
          </w:tcPr>
          <w:p>
            <w:pPr>
              <w:spacing w:line="300" w:lineRule="exact"/>
              <w:ind w:firstLine="0" w:firstLineChars="0"/>
              <w:jc w:val="center"/>
              <w:rPr>
                <w:kern w:val="1"/>
                <w:sz w:val="21"/>
                <w:szCs w:val="21"/>
              </w:rPr>
            </w:pPr>
            <w:r>
              <w:rPr>
                <w:kern w:val="1"/>
                <w:sz w:val="21"/>
                <w:szCs w:val="21"/>
              </w:rPr>
              <w:t>地表水环境</w:t>
            </w:r>
          </w:p>
        </w:tc>
        <w:tc>
          <w:tcPr>
            <w:tcW w:w="3989" w:type="dxa"/>
            <w:tcBorders>
              <w:top w:val="single" w:color="000000" w:sz="4" w:space="0"/>
              <w:bottom w:val="sing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金堤河</w:t>
            </w:r>
          </w:p>
        </w:tc>
        <w:tc>
          <w:tcPr>
            <w:tcW w:w="3375" w:type="dxa"/>
            <w:tcBorders>
              <w:top w:val="single" w:color="000000" w:sz="4" w:space="0"/>
              <w:left w:val="single" w:color="auto" w:sz="4" w:space="0"/>
              <w:bottom w:val="single" w:color="000000" w:sz="4" w:space="0"/>
            </w:tcBorders>
            <w:vAlign w:val="center"/>
          </w:tcPr>
          <w:p>
            <w:pPr>
              <w:spacing w:line="300" w:lineRule="exact"/>
              <w:ind w:firstLine="0" w:firstLineChars="0"/>
              <w:jc w:val="center"/>
              <w:rPr>
                <w:kern w:val="1"/>
                <w:sz w:val="21"/>
                <w:szCs w:val="21"/>
              </w:rPr>
            </w:pPr>
            <w:r>
              <w:rPr>
                <w:kern w:val="1"/>
                <w:sz w:val="21"/>
                <w:szCs w:val="21"/>
              </w:rPr>
              <w:t>NW、1700</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vMerge w:val="continue"/>
            <w:tcBorders>
              <w:left w:val="nil"/>
            </w:tcBorders>
            <w:vAlign w:val="center"/>
          </w:tcPr>
          <w:p>
            <w:pPr>
              <w:spacing w:before="50" w:after="50"/>
              <w:ind w:firstLine="0" w:firstLineChars="0"/>
              <w:jc w:val="center"/>
              <w:rPr>
                <w:kern w:val="2"/>
                <w:sz w:val="21"/>
                <w:szCs w:val="21"/>
              </w:rPr>
            </w:pPr>
          </w:p>
        </w:tc>
        <w:tc>
          <w:tcPr>
            <w:tcW w:w="3989" w:type="dxa"/>
            <w:tcBorders>
              <w:top w:val="single" w:color="000000" w:sz="4" w:space="0"/>
              <w:bottom w:val="sing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引黄入鲁干渠</w:t>
            </w:r>
          </w:p>
        </w:tc>
        <w:tc>
          <w:tcPr>
            <w:tcW w:w="3375" w:type="dxa"/>
            <w:tcBorders>
              <w:top w:val="single" w:color="000000" w:sz="4" w:space="0"/>
              <w:left w:val="single" w:color="auto" w:sz="4" w:space="0"/>
              <w:bottom w:val="single" w:color="000000" w:sz="4" w:space="0"/>
            </w:tcBorders>
            <w:vAlign w:val="center"/>
          </w:tcPr>
          <w:p>
            <w:pPr>
              <w:spacing w:line="300" w:lineRule="exact"/>
              <w:ind w:firstLine="0" w:firstLineChars="0"/>
              <w:jc w:val="center"/>
              <w:rPr>
                <w:kern w:val="1"/>
                <w:sz w:val="21"/>
                <w:szCs w:val="21"/>
              </w:rPr>
            </w:pPr>
            <w:r>
              <w:rPr>
                <w:kern w:val="1"/>
                <w:sz w:val="21"/>
                <w:szCs w:val="21"/>
              </w:rPr>
              <w:t>E、200</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tcBorders>
              <w:left w:val="nil"/>
            </w:tcBorders>
            <w:vAlign w:val="center"/>
          </w:tcPr>
          <w:p>
            <w:pPr>
              <w:spacing w:line="300" w:lineRule="exact"/>
              <w:ind w:firstLine="0" w:firstLineChars="0"/>
              <w:jc w:val="center"/>
              <w:rPr>
                <w:kern w:val="1"/>
                <w:sz w:val="21"/>
                <w:szCs w:val="21"/>
              </w:rPr>
            </w:pPr>
            <w:r>
              <w:rPr>
                <w:kern w:val="1"/>
                <w:sz w:val="21"/>
                <w:szCs w:val="21"/>
              </w:rPr>
              <w:t>地下水环境</w:t>
            </w:r>
          </w:p>
        </w:tc>
        <w:tc>
          <w:tcPr>
            <w:tcW w:w="3989" w:type="dxa"/>
            <w:tcBorders>
              <w:top w:val="single" w:color="000000" w:sz="4" w:space="0"/>
              <w:bottom w:val="sing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厂址周围</w:t>
            </w:r>
          </w:p>
        </w:tc>
        <w:tc>
          <w:tcPr>
            <w:tcW w:w="3375" w:type="dxa"/>
            <w:tcBorders>
              <w:top w:val="single" w:color="000000" w:sz="4" w:space="0"/>
              <w:left w:val="single" w:color="auto" w:sz="4" w:space="0"/>
              <w:bottom w:val="single" w:color="000000" w:sz="4" w:space="0"/>
            </w:tcBorders>
            <w:vAlign w:val="center"/>
          </w:tcPr>
          <w:p>
            <w:pPr>
              <w:spacing w:line="300" w:lineRule="exact"/>
              <w:ind w:firstLine="0" w:firstLineChars="0"/>
              <w:jc w:val="center"/>
              <w:rPr>
                <w:kern w:val="1"/>
                <w:sz w:val="21"/>
                <w:szCs w:val="21"/>
              </w:rPr>
            </w:pPr>
            <w:r>
              <w:rPr>
                <w:kern w:val="1"/>
                <w:sz w:val="21"/>
                <w:szCs w:val="21"/>
              </w:rPr>
              <w:t>―</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tcBorders>
              <w:left w:val="nil"/>
            </w:tcBorders>
            <w:vAlign w:val="center"/>
          </w:tcPr>
          <w:p>
            <w:pPr>
              <w:spacing w:line="300" w:lineRule="exact"/>
              <w:ind w:firstLine="0" w:firstLineChars="0"/>
              <w:jc w:val="center"/>
              <w:rPr>
                <w:kern w:val="1"/>
                <w:sz w:val="21"/>
                <w:szCs w:val="21"/>
              </w:rPr>
            </w:pPr>
            <w:r>
              <w:rPr>
                <w:kern w:val="1"/>
                <w:sz w:val="21"/>
                <w:szCs w:val="21"/>
              </w:rPr>
              <w:t>噪声</w:t>
            </w:r>
          </w:p>
        </w:tc>
        <w:tc>
          <w:tcPr>
            <w:tcW w:w="3989" w:type="dxa"/>
            <w:tcBorders>
              <w:top w:val="single" w:color="000000" w:sz="4" w:space="0"/>
              <w:bottom w:val="sing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厂界外200m内</w:t>
            </w:r>
          </w:p>
        </w:tc>
        <w:tc>
          <w:tcPr>
            <w:tcW w:w="3375" w:type="dxa"/>
            <w:tcBorders>
              <w:top w:val="single" w:color="000000" w:sz="4" w:space="0"/>
              <w:left w:val="single" w:color="auto" w:sz="4" w:space="0"/>
              <w:bottom w:val="single" w:color="000000" w:sz="4" w:space="0"/>
            </w:tcBorders>
            <w:vAlign w:val="center"/>
          </w:tcPr>
          <w:p>
            <w:pPr>
              <w:spacing w:line="300" w:lineRule="exact"/>
              <w:ind w:firstLine="0" w:firstLineChars="0"/>
              <w:jc w:val="center"/>
              <w:rPr>
                <w:kern w:val="1"/>
                <w:sz w:val="21"/>
                <w:szCs w:val="21"/>
              </w:rPr>
            </w:pPr>
            <w:r>
              <w:rPr>
                <w:kern w:val="1"/>
                <w:sz w:val="21"/>
                <w:szCs w:val="21"/>
              </w:rPr>
              <w:t>―</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exact"/>
          <w:jc w:val="center"/>
        </w:trPr>
        <w:tc>
          <w:tcPr>
            <w:tcW w:w="1478" w:type="dxa"/>
            <w:tcBorders>
              <w:left w:val="nil"/>
              <w:bottom w:val="double" w:color="000000" w:sz="4" w:space="0"/>
            </w:tcBorders>
            <w:vAlign w:val="center"/>
          </w:tcPr>
          <w:p>
            <w:pPr>
              <w:spacing w:line="300" w:lineRule="exact"/>
              <w:ind w:firstLine="0" w:firstLineChars="0"/>
              <w:jc w:val="center"/>
              <w:rPr>
                <w:kern w:val="1"/>
                <w:sz w:val="21"/>
                <w:szCs w:val="21"/>
              </w:rPr>
            </w:pPr>
            <w:r>
              <w:rPr>
                <w:kern w:val="1"/>
                <w:sz w:val="21"/>
                <w:szCs w:val="21"/>
              </w:rPr>
              <w:t>土壤</w:t>
            </w:r>
          </w:p>
        </w:tc>
        <w:tc>
          <w:tcPr>
            <w:tcW w:w="3989" w:type="dxa"/>
            <w:tcBorders>
              <w:top w:val="single" w:color="000000" w:sz="4" w:space="0"/>
              <w:bottom w:val="double" w:color="000000" w:sz="4" w:space="0"/>
              <w:right w:val="single" w:color="auto" w:sz="4" w:space="0"/>
            </w:tcBorders>
            <w:vAlign w:val="center"/>
          </w:tcPr>
          <w:p>
            <w:pPr>
              <w:spacing w:line="300" w:lineRule="exact"/>
              <w:ind w:firstLine="0" w:firstLineChars="0"/>
              <w:jc w:val="center"/>
              <w:rPr>
                <w:kern w:val="1"/>
                <w:sz w:val="21"/>
                <w:szCs w:val="21"/>
              </w:rPr>
            </w:pPr>
            <w:r>
              <w:rPr>
                <w:kern w:val="1"/>
                <w:sz w:val="21"/>
                <w:szCs w:val="21"/>
              </w:rPr>
              <w:t>厂址周围</w:t>
            </w:r>
          </w:p>
        </w:tc>
        <w:tc>
          <w:tcPr>
            <w:tcW w:w="3375" w:type="dxa"/>
            <w:tcBorders>
              <w:top w:val="single" w:color="000000" w:sz="4" w:space="0"/>
              <w:left w:val="single" w:color="auto" w:sz="4" w:space="0"/>
              <w:bottom w:val="double" w:color="000000" w:sz="4" w:space="0"/>
            </w:tcBorders>
            <w:vAlign w:val="center"/>
          </w:tcPr>
          <w:p>
            <w:pPr>
              <w:spacing w:line="300" w:lineRule="exact"/>
              <w:ind w:firstLine="0" w:firstLineChars="0"/>
              <w:jc w:val="center"/>
              <w:rPr>
                <w:kern w:val="1"/>
                <w:sz w:val="21"/>
                <w:szCs w:val="21"/>
              </w:rPr>
            </w:pPr>
            <w:r>
              <w:rPr>
                <w:kern w:val="1"/>
                <w:sz w:val="21"/>
                <w:szCs w:val="21"/>
              </w:rPr>
              <w:t>―</w:t>
            </w:r>
          </w:p>
        </w:tc>
      </w:tr>
    </w:tbl>
    <w:p>
      <w:pPr>
        <w:pStyle w:val="3"/>
      </w:pPr>
      <w:r>
        <w:t>3.2  建设内容</w:t>
      </w:r>
    </w:p>
    <w:p>
      <w:pPr>
        <w:keepNext w:val="0"/>
        <w:keepLines w:val="0"/>
        <w:pageBreakBefore w:val="0"/>
        <w:widowControl w:val="0"/>
        <w:kinsoku/>
        <w:wordWrap/>
        <w:overflowPunct/>
        <w:topLinePunct w:val="0"/>
        <w:autoSpaceDE/>
        <w:autoSpaceDN/>
        <w:bidi w:val="0"/>
        <w:adjustRightInd/>
        <w:snapToGrid/>
        <w:spacing w:before="120" w:beforeLines="50" w:line="360" w:lineRule="auto"/>
        <w:ind w:firstLine="480" w:firstLineChars="200"/>
        <w:textAlignment w:val="auto"/>
        <w:outlineLvl w:val="9"/>
        <w:rPr>
          <w:sz w:val="24"/>
          <w:szCs w:val="24"/>
        </w:rPr>
      </w:pPr>
      <w:r>
        <w:rPr>
          <w:sz w:val="24"/>
          <w:szCs w:val="24"/>
        </w:rPr>
        <w:t>本项目环评计划投资35577万元，实际投资25682万元。</w:t>
      </w:r>
    </w:p>
    <w:p>
      <w:pPr>
        <w:pStyle w:val="12"/>
        <w:keepNext w:val="0"/>
        <w:keepLines w:val="0"/>
        <w:pageBreakBefore w:val="0"/>
        <w:widowControl w:val="0"/>
        <w:kinsoku/>
        <w:wordWrap/>
        <w:overflowPunct/>
        <w:topLinePunct w:val="0"/>
        <w:autoSpaceDE/>
        <w:autoSpaceDN/>
        <w:bidi w:val="0"/>
        <w:adjustRightInd/>
        <w:snapToGrid/>
        <w:spacing w:after="120" w:afterLines="50" w:line="360" w:lineRule="auto"/>
        <w:ind w:firstLine="482" w:firstLineChars="200"/>
        <w:textAlignment w:val="auto"/>
        <w:outlineLvl w:val="9"/>
        <w:rPr>
          <w:color w:val="000000"/>
          <w:sz w:val="24"/>
          <w:szCs w:val="24"/>
        </w:rPr>
        <w:sectPr>
          <w:footerReference r:id="rId5" w:type="default"/>
          <w:pgSz w:w="11906" w:h="16838"/>
          <w:pgMar w:top="1440" w:right="1349" w:bottom="1440" w:left="1576" w:header="708" w:footer="709" w:gutter="0"/>
          <w:pgNumType w:start="1"/>
          <w:cols w:space="0" w:num="1"/>
          <w:rtlGutter w:val="0"/>
          <w:docGrid w:linePitch="381" w:charSpace="0"/>
        </w:sectPr>
      </w:pPr>
    </w:p>
    <w:p>
      <w:pPr>
        <w:keepNext w:val="0"/>
        <w:keepLines w:val="0"/>
        <w:pageBreakBefore w:val="0"/>
        <w:widowControl w:val="0"/>
        <w:kinsoku/>
        <w:wordWrap/>
        <w:overflowPunct/>
        <w:topLinePunct w:val="0"/>
        <w:autoSpaceDE/>
        <w:autoSpaceDN/>
        <w:bidi w:val="0"/>
        <w:adjustRightInd/>
        <w:snapToGrid/>
        <w:spacing w:before="120" w:beforeLines="50" w:line="360" w:lineRule="auto"/>
        <w:ind w:firstLine="480" w:firstLineChars="200"/>
        <w:textAlignment w:val="auto"/>
        <w:outlineLvl w:val="9"/>
        <w:rPr>
          <w:sz w:val="24"/>
          <w:szCs w:val="24"/>
        </w:rPr>
      </w:pPr>
      <w:r>
        <w:rPr>
          <w:sz w:val="24"/>
          <w:szCs w:val="24"/>
        </w:rPr>
        <w:t>项目主要建设内容与环评设计要求及实际建设情况详见表</w:t>
      </w:r>
      <w:r>
        <w:rPr>
          <w:rFonts w:hint="eastAsia"/>
          <w:sz w:val="24"/>
          <w:szCs w:val="24"/>
          <w:lang w:val="en-US" w:eastAsia="zh-CN"/>
        </w:rPr>
        <w:t>2</w:t>
      </w:r>
      <w:r>
        <w:rPr>
          <w:sz w:val="24"/>
          <w:szCs w:val="24"/>
        </w:rPr>
        <w:t>。</w:t>
      </w:r>
    </w:p>
    <w:p>
      <w:pPr>
        <w:pStyle w:val="12"/>
        <w:spacing w:after="120" w:afterLines="50"/>
        <w:ind w:firstLine="0" w:firstLineChars="0"/>
        <w:rPr>
          <w:color w:val="000000"/>
        </w:rPr>
      </w:pPr>
      <w:r>
        <w:rPr>
          <w:color w:val="000000"/>
        </w:rPr>
        <w:t>表</w:t>
      </w:r>
      <w:r>
        <w:rPr>
          <w:rFonts w:hint="eastAsia"/>
          <w:color w:val="000000"/>
          <w:lang w:val="en-US" w:eastAsia="zh-CN"/>
        </w:rPr>
        <w:t>2</w:t>
      </w:r>
      <w:r>
        <w:rPr>
          <w:color w:val="000000"/>
        </w:rPr>
        <w:t xml:space="preserve">   项目主要建设内容与环评设计要求及实际建设情况表</w:t>
      </w:r>
    </w:p>
    <w:tbl>
      <w:tblPr>
        <w:tblStyle w:val="10"/>
        <w:tblW w:w="8900" w:type="dxa"/>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38"/>
        <w:gridCol w:w="848"/>
        <w:gridCol w:w="2226"/>
        <w:gridCol w:w="2484"/>
        <w:gridCol w:w="2037"/>
        <w:gridCol w:w="867"/>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4" w:hRule="atLeast"/>
          <w:tblHeader/>
        </w:trPr>
        <w:tc>
          <w:tcPr>
            <w:tcW w:w="438" w:type="dxa"/>
            <w:vAlign w:val="center"/>
          </w:tcPr>
          <w:p>
            <w:pPr>
              <w:pStyle w:val="13"/>
              <w:spacing w:line="240" w:lineRule="auto"/>
              <w:rPr>
                <w:b/>
                <w:bCs/>
                <w:szCs w:val="21"/>
              </w:rPr>
            </w:pPr>
            <w:r>
              <w:rPr>
                <w:b/>
                <w:bCs/>
                <w:szCs w:val="21"/>
              </w:rPr>
              <w:t>类别</w:t>
            </w:r>
          </w:p>
        </w:tc>
        <w:tc>
          <w:tcPr>
            <w:tcW w:w="3074" w:type="dxa"/>
            <w:gridSpan w:val="2"/>
            <w:vAlign w:val="center"/>
          </w:tcPr>
          <w:p>
            <w:pPr>
              <w:pStyle w:val="13"/>
              <w:spacing w:line="240" w:lineRule="auto"/>
              <w:rPr>
                <w:b/>
                <w:bCs/>
                <w:szCs w:val="21"/>
              </w:rPr>
            </w:pPr>
            <w:r>
              <w:rPr>
                <w:b/>
                <w:bCs/>
                <w:szCs w:val="21"/>
              </w:rPr>
              <w:t>环评及批复要求</w:t>
            </w:r>
          </w:p>
        </w:tc>
        <w:tc>
          <w:tcPr>
            <w:tcW w:w="2484" w:type="dxa"/>
            <w:vAlign w:val="center"/>
          </w:tcPr>
          <w:p>
            <w:pPr>
              <w:pStyle w:val="13"/>
              <w:spacing w:line="240" w:lineRule="auto"/>
              <w:rPr>
                <w:b/>
                <w:bCs/>
                <w:szCs w:val="21"/>
              </w:rPr>
            </w:pPr>
            <w:r>
              <w:rPr>
                <w:b/>
                <w:bCs/>
                <w:szCs w:val="21"/>
              </w:rPr>
              <w:t>初步设计</w:t>
            </w:r>
          </w:p>
        </w:tc>
        <w:tc>
          <w:tcPr>
            <w:tcW w:w="2037" w:type="dxa"/>
            <w:vAlign w:val="center"/>
          </w:tcPr>
          <w:p>
            <w:pPr>
              <w:pStyle w:val="13"/>
              <w:spacing w:line="240" w:lineRule="auto"/>
              <w:rPr>
                <w:b/>
                <w:bCs/>
                <w:szCs w:val="21"/>
              </w:rPr>
            </w:pPr>
            <w:r>
              <w:rPr>
                <w:b/>
                <w:bCs/>
                <w:szCs w:val="21"/>
              </w:rPr>
              <w:t>实际建设情况</w:t>
            </w:r>
          </w:p>
        </w:tc>
        <w:tc>
          <w:tcPr>
            <w:tcW w:w="867" w:type="dxa"/>
            <w:vAlign w:val="center"/>
          </w:tcPr>
          <w:p>
            <w:pPr>
              <w:pStyle w:val="13"/>
              <w:spacing w:line="240" w:lineRule="auto"/>
              <w:rPr>
                <w:b/>
                <w:bCs/>
                <w:szCs w:val="21"/>
              </w:rPr>
            </w:pPr>
            <w:r>
              <w:rPr>
                <w:b/>
                <w:bCs/>
                <w:szCs w:val="21"/>
              </w:rPr>
              <w:t>变更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38" w:type="dxa"/>
            <w:vMerge w:val="restart"/>
            <w:vAlign w:val="center"/>
          </w:tcPr>
          <w:p>
            <w:pPr>
              <w:pStyle w:val="12"/>
              <w:ind w:firstLine="0" w:firstLineChars="0"/>
              <w:rPr>
                <w:color w:val="000000"/>
              </w:rPr>
            </w:pPr>
            <w:r>
              <w:rPr>
                <w:b w:val="0"/>
                <w:color w:val="000000"/>
                <w:kern w:val="2"/>
                <w:sz w:val="21"/>
                <w:szCs w:val="21"/>
              </w:rPr>
              <w:t>主题工程</w:t>
            </w:r>
          </w:p>
        </w:tc>
        <w:tc>
          <w:tcPr>
            <w:tcW w:w="3074" w:type="dxa"/>
            <w:gridSpan w:val="2"/>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60万吨/年中芳烃加氢改质装置</w:t>
            </w:r>
          </w:p>
        </w:tc>
        <w:tc>
          <w:tcPr>
            <w:tcW w:w="2484" w:type="dxa"/>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60万吨/年中芳烃加氢改质装置</w:t>
            </w:r>
          </w:p>
        </w:tc>
        <w:tc>
          <w:tcPr>
            <w:tcW w:w="2037" w:type="dxa"/>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60万吨/年</w:t>
            </w:r>
            <w:r>
              <w:t>中芳烃</w:t>
            </w:r>
            <w:r>
              <w:rPr>
                <w:rFonts w:eastAsia="宋体"/>
                <w:kern w:val="2"/>
                <w:sz w:val="21"/>
                <w:szCs w:val="21"/>
              </w:rPr>
              <w:t>（柴油）加氢改质装置</w:t>
            </w:r>
          </w:p>
        </w:tc>
        <w:tc>
          <w:tcPr>
            <w:tcW w:w="867" w:type="dxa"/>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8" w:type="dxa"/>
            <w:vMerge w:val="continue"/>
            <w:vAlign w:val="center"/>
          </w:tcPr>
          <w:p>
            <w:pPr>
              <w:pStyle w:val="12"/>
              <w:ind w:firstLine="0" w:firstLineChars="0"/>
              <w:rPr>
                <w:color w:val="000000"/>
              </w:rPr>
            </w:pPr>
          </w:p>
        </w:tc>
        <w:tc>
          <w:tcPr>
            <w:tcW w:w="3074" w:type="dxa"/>
            <w:gridSpan w:val="2"/>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25000Nm</w:t>
            </w:r>
            <w:r>
              <w:rPr>
                <w:rFonts w:eastAsia="宋体"/>
                <w:kern w:val="2"/>
                <w:sz w:val="21"/>
                <w:szCs w:val="21"/>
                <w:vertAlign w:val="superscript"/>
              </w:rPr>
              <w:t>3</w:t>
            </w:r>
            <w:r>
              <w:rPr>
                <w:rFonts w:eastAsia="宋体"/>
                <w:kern w:val="2"/>
                <w:sz w:val="21"/>
                <w:szCs w:val="21"/>
              </w:rPr>
              <w:t>/h干气制氢装置</w:t>
            </w:r>
          </w:p>
        </w:tc>
        <w:tc>
          <w:tcPr>
            <w:tcW w:w="2484" w:type="dxa"/>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25000Nm</w:t>
            </w:r>
            <w:r>
              <w:rPr>
                <w:rFonts w:eastAsia="宋体"/>
                <w:kern w:val="2"/>
                <w:sz w:val="21"/>
                <w:szCs w:val="21"/>
                <w:vertAlign w:val="superscript"/>
              </w:rPr>
              <w:t>3</w:t>
            </w:r>
            <w:r>
              <w:rPr>
                <w:rFonts w:eastAsia="宋体"/>
                <w:kern w:val="2"/>
                <w:sz w:val="21"/>
                <w:szCs w:val="21"/>
              </w:rPr>
              <w:t>/h干气制氢装置</w:t>
            </w:r>
          </w:p>
        </w:tc>
        <w:tc>
          <w:tcPr>
            <w:tcW w:w="2037" w:type="dxa"/>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25000Nm</w:t>
            </w:r>
            <w:r>
              <w:rPr>
                <w:rFonts w:eastAsia="宋体"/>
                <w:kern w:val="2"/>
                <w:sz w:val="21"/>
                <w:szCs w:val="21"/>
                <w:vertAlign w:val="superscript"/>
              </w:rPr>
              <w:t>3</w:t>
            </w:r>
            <w:r>
              <w:rPr>
                <w:rFonts w:eastAsia="宋体"/>
                <w:kern w:val="2"/>
                <w:sz w:val="21"/>
                <w:szCs w:val="21"/>
              </w:rPr>
              <w:t>/h干气制氢装置</w:t>
            </w:r>
          </w:p>
        </w:tc>
        <w:tc>
          <w:tcPr>
            <w:tcW w:w="867" w:type="dxa"/>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438" w:type="dxa"/>
            <w:vMerge w:val="restart"/>
            <w:vAlign w:val="center"/>
          </w:tcPr>
          <w:p>
            <w:pPr>
              <w:pStyle w:val="12"/>
              <w:ind w:firstLine="0" w:firstLineChars="0"/>
              <w:rPr>
                <w:b w:val="0"/>
                <w:color w:val="000000"/>
                <w:kern w:val="2"/>
                <w:sz w:val="21"/>
                <w:szCs w:val="21"/>
              </w:rPr>
            </w:pPr>
            <w:r>
              <w:rPr>
                <w:b w:val="0"/>
                <w:color w:val="000000"/>
                <w:kern w:val="2"/>
                <w:sz w:val="21"/>
                <w:szCs w:val="21"/>
              </w:rPr>
              <w:t>辅助及公用工程</w:t>
            </w:r>
          </w:p>
        </w:tc>
        <w:tc>
          <w:tcPr>
            <w:tcW w:w="848" w:type="dxa"/>
            <w:tcBorders>
              <w:bottom w:val="single" w:color="auto" w:sz="4" w:space="0"/>
            </w:tcBorders>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供水</w:t>
            </w:r>
          </w:p>
        </w:tc>
        <w:tc>
          <w:tcPr>
            <w:tcW w:w="2226" w:type="dxa"/>
            <w:tcBorders>
              <w:bottom w:val="single" w:color="auto" w:sz="4" w:space="0"/>
            </w:tcBorders>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取用地下水，设计供水能力400 m</w:t>
            </w:r>
            <w:r>
              <w:rPr>
                <w:rFonts w:eastAsia="宋体"/>
                <w:kern w:val="2"/>
                <w:sz w:val="21"/>
                <w:szCs w:val="21"/>
                <w:vertAlign w:val="superscript"/>
              </w:rPr>
              <w:t>3</w:t>
            </w:r>
            <w:r>
              <w:rPr>
                <w:rFonts w:eastAsia="宋体"/>
                <w:kern w:val="2"/>
                <w:sz w:val="21"/>
                <w:szCs w:val="21"/>
              </w:rPr>
              <w:t>/h</w:t>
            </w:r>
          </w:p>
        </w:tc>
        <w:tc>
          <w:tcPr>
            <w:tcW w:w="2484" w:type="dxa"/>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取用地下水，设计供水能力400 m</w:t>
            </w:r>
            <w:r>
              <w:rPr>
                <w:rFonts w:eastAsia="宋体"/>
                <w:kern w:val="2"/>
                <w:sz w:val="21"/>
                <w:szCs w:val="21"/>
                <w:vertAlign w:val="superscript"/>
              </w:rPr>
              <w:t>3</w:t>
            </w:r>
            <w:r>
              <w:rPr>
                <w:rFonts w:eastAsia="宋体"/>
                <w:kern w:val="2"/>
                <w:sz w:val="21"/>
                <w:szCs w:val="21"/>
              </w:rPr>
              <w:t>/h</w:t>
            </w:r>
          </w:p>
        </w:tc>
        <w:tc>
          <w:tcPr>
            <w:tcW w:w="2037" w:type="dxa"/>
            <w:vAlign w:val="center"/>
          </w:tcPr>
          <w:p>
            <w:pPr>
              <w:pStyle w:val="8"/>
              <w:widowControl w:val="0"/>
              <w:spacing w:before="0" w:beforeAutospacing="0" w:after="0" w:afterAutospacing="0" w:line="240" w:lineRule="exact"/>
              <w:ind w:firstLine="0" w:firstLineChars="0"/>
              <w:jc w:val="center"/>
              <w:rPr>
                <w:rFonts w:ascii="Times New Roman" w:hAnsi="Times New Roman"/>
                <w:kern w:val="2"/>
                <w:sz w:val="21"/>
                <w:szCs w:val="21"/>
              </w:rPr>
            </w:pPr>
            <w:r>
              <w:rPr>
                <w:rFonts w:ascii="Times New Roman" w:hAnsi="Times New Roman"/>
                <w:kern w:val="2"/>
                <w:sz w:val="21"/>
                <w:szCs w:val="21"/>
              </w:rPr>
              <w:t>实际取水量约为200m</w:t>
            </w:r>
            <w:r>
              <w:rPr>
                <w:rFonts w:ascii="Times New Roman" w:hAnsi="Times New Roman"/>
                <w:kern w:val="2"/>
                <w:sz w:val="21"/>
                <w:szCs w:val="21"/>
                <w:vertAlign w:val="superscript"/>
              </w:rPr>
              <w:t>3</w:t>
            </w:r>
            <w:r>
              <w:rPr>
                <w:rFonts w:ascii="Times New Roman" w:hAnsi="Times New Roman"/>
                <w:kern w:val="2"/>
                <w:sz w:val="21"/>
                <w:szCs w:val="21"/>
              </w:rPr>
              <w:t>/h</w:t>
            </w:r>
          </w:p>
        </w:tc>
        <w:tc>
          <w:tcPr>
            <w:tcW w:w="867" w:type="dxa"/>
            <w:vAlign w:val="center"/>
          </w:tcPr>
          <w:p>
            <w:pPr>
              <w:pStyle w:val="12"/>
              <w:ind w:firstLine="0" w:firstLineChars="0"/>
              <w:rPr>
                <w:b w:val="0"/>
                <w:kern w:val="2"/>
                <w:sz w:val="21"/>
                <w:szCs w:val="21"/>
              </w:rPr>
            </w:pPr>
            <w:r>
              <w:rPr>
                <w:b w:val="0"/>
                <w:kern w:val="2"/>
                <w:sz w:val="21"/>
                <w:szCs w:val="21"/>
              </w:rPr>
              <w: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8" w:type="dxa"/>
            <w:vMerge w:val="continue"/>
            <w:vAlign w:val="center"/>
          </w:tcPr>
          <w:p>
            <w:pPr>
              <w:pStyle w:val="12"/>
              <w:ind w:firstLine="0" w:firstLineChars="0"/>
              <w:rPr>
                <w:color w:val="000000"/>
              </w:rPr>
            </w:pPr>
          </w:p>
        </w:tc>
        <w:tc>
          <w:tcPr>
            <w:tcW w:w="848" w:type="dxa"/>
            <w:tcBorders>
              <w:top w:val="single" w:color="auto" w:sz="4" w:space="0"/>
              <w:bottom w:val="single" w:color="auto" w:sz="4" w:space="0"/>
            </w:tcBorders>
            <w:vAlign w:val="center"/>
          </w:tcPr>
          <w:p>
            <w:pPr>
              <w:pStyle w:val="14"/>
              <w:widowControl w:val="0"/>
              <w:autoSpaceDE/>
              <w:autoSpaceDN/>
              <w:spacing w:line="240" w:lineRule="auto"/>
              <w:ind w:firstLine="0" w:firstLineChars="0"/>
              <w:textAlignment w:val="auto"/>
              <w:rPr>
                <w:rFonts w:eastAsia="宋体"/>
                <w:color w:val="000000"/>
                <w:kern w:val="2"/>
                <w:sz w:val="21"/>
                <w:szCs w:val="21"/>
              </w:rPr>
            </w:pPr>
            <w:r>
              <w:rPr>
                <w:rFonts w:eastAsia="宋体"/>
                <w:color w:val="000000"/>
                <w:spacing w:val="-12"/>
                <w:kern w:val="2"/>
                <w:sz w:val="21"/>
                <w:szCs w:val="21"/>
              </w:rPr>
              <w:t>循环水系统</w:t>
            </w:r>
          </w:p>
        </w:tc>
        <w:tc>
          <w:tcPr>
            <w:tcW w:w="2226" w:type="dxa"/>
            <w:tcBorders>
              <w:top w:val="single" w:color="auto" w:sz="4" w:space="0"/>
              <w:bottom w:val="single" w:color="auto" w:sz="4" w:space="0"/>
            </w:tcBorders>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设计供水能力12000m</w:t>
            </w:r>
            <w:r>
              <w:rPr>
                <w:rFonts w:eastAsia="宋体"/>
                <w:kern w:val="2"/>
                <w:sz w:val="21"/>
                <w:szCs w:val="21"/>
                <w:vertAlign w:val="superscript"/>
              </w:rPr>
              <w:t>3</w:t>
            </w:r>
            <w:r>
              <w:rPr>
                <w:rFonts w:eastAsia="宋体"/>
                <w:kern w:val="2"/>
                <w:sz w:val="21"/>
                <w:szCs w:val="21"/>
              </w:rPr>
              <w:t>/h</w:t>
            </w:r>
          </w:p>
        </w:tc>
        <w:tc>
          <w:tcPr>
            <w:tcW w:w="2484" w:type="dxa"/>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设计供水能力12000m</w:t>
            </w:r>
            <w:r>
              <w:rPr>
                <w:rFonts w:eastAsia="宋体"/>
                <w:kern w:val="2"/>
                <w:sz w:val="21"/>
                <w:szCs w:val="21"/>
                <w:vertAlign w:val="superscript"/>
              </w:rPr>
              <w:t>3</w:t>
            </w:r>
            <w:r>
              <w:rPr>
                <w:rFonts w:eastAsia="宋体"/>
                <w:kern w:val="2"/>
                <w:sz w:val="21"/>
                <w:szCs w:val="21"/>
              </w:rPr>
              <w:t>/h</w:t>
            </w:r>
          </w:p>
        </w:tc>
        <w:tc>
          <w:tcPr>
            <w:tcW w:w="2037" w:type="dxa"/>
            <w:vAlign w:val="center"/>
          </w:tcPr>
          <w:p>
            <w:pPr>
              <w:pStyle w:val="8"/>
              <w:widowControl w:val="0"/>
              <w:spacing w:before="0" w:beforeAutospacing="0" w:after="0" w:afterAutospacing="0" w:line="240" w:lineRule="exact"/>
              <w:ind w:firstLine="0" w:firstLineChars="0"/>
              <w:jc w:val="center"/>
              <w:rPr>
                <w:rFonts w:ascii="Times New Roman" w:hAnsi="Times New Roman"/>
                <w:kern w:val="2"/>
                <w:sz w:val="21"/>
                <w:szCs w:val="21"/>
              </w:rPr>
            </w:pPr>
            <w:r>
              <w:rPr>
                <w:rFonts w:ascii="Times New Roman" w:hAnsi="Times New Roman"/>
                <w:kern w:val="2"/>
                <w:sz w:val="21"/>
                <w:szCs w:val="21"/>
              </w:rPr>
              <w:t>建设供水能力12000m</w:t>
            </w:r>
            <w:r>
              <w:rPr>
                <w:rFonts w:ascii="Times New Roman" w:hAnsi="Times New Roman"/>
                <w:kern w:val="2"/>
                <w:sz w:val="21"/>
                <w:szCs w:val="21"/>
                <w:vertAlign w:val="superscript"/>
              </w:rPr>
              <w:t>3</w:t>
            </w:r>
            <w:r>
              <w:rPr>
                <w:rFonts w:ascii="Times New Roman" w:hAnsi="Times New Roman"/>
                <w:kern w:val="2"/>
                <w:sz w:val="21"/>
                <w:szCs w:val="21"/>
              </w:rPr>
              <w:t>/h</w:t>
            </w:r>
          </w:p>
        </w:tc>
        <w:tc>
          <w:tcPr>
            <w:tcW w:w="867" w:type="dxa"/>
            <w:vAlign w:val="center"/>
          </w:tcPr>
          <w:p>
            <w:pPr>
              <w:pStyle w:val="14"/>
              <w:widowControl w:val="0"/>
              <w:autoSpaceDE/>
              <w:autoSpaceDN/>
              <w:spacing w:line="0" w:lineRule="atLeast"/>
              <w:ind w:firstLine="0" w:firstLineChars="0"/>
              <w:textAlignment w:val="auto"/>
            </w:pPr>
            <w:r>
              <w:rPr>
                <w:rFonts w:eastAsia="宋体"/>
                <w:kern w:val="2"/>
                <w:sz w:val="21"/>
                <w:szCs w:val="21"/>
              </w:rPr>
              <w:t>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38" w:type="dxa"/>
            <w:vMerge w:val="continue"/>
            <w:vAlign w:val="center"/>
          </w:tcPr>
          <w:p>
            <w:pPr>
              <w:pStyle w:val="12"/>
              <w:ind w:firstLine="0" w:firstLineChars="0"/>
              <w:rPr>
                <w:color w:val="000000"/>
              </w:rPr>
            </w:pPr>
          </w:p>
        </w:tc>
        <w:tc>
          <w:tcPr>
            <w:tcW w:w="848" w:type="dxa"/>
            <w:tcBorders>
              <w:top w:val="single" w:color="auto" w:sz="4" w:space="0"/>
            </w:tcBorders>
            <w:vAlign w:val="center"/>
          </w:tcPr>
          <w:p>
            <w:pPr>
              <w:pStyle w:val="14"/>
              <w:widowControl w:val="0"/>
              <w:autoSpaceDE/>
              <w:autoSpaceDN/>
              <w:spacing w:line="240" w:lineRule="auto"/>
              <w:ind w:firstLine="0" w:firstLineChars="0"/>
              <w:textAlignment w:val="auto"/>
              <w:rPr>
                <w:rFonts w:eastAsia="宋体"/>
                <w:color w:val="000000"/>
                <w:kern w:val="2"/>
                <w:sz w:val="21"/>
                <w:szCs w:val="21"/>
              </w:rPr>
            </w:pPr>
            <w:r>
              <w:rPr>
                <w:rFonts w:eastAsia="宋体"/>
                <w:spacing w:val="-12"/>
                <w:kern w:val="2"/>
                <w:sz w:val="21"/>
                <w:szCs w:val="21"/>
              </w:rPr>
              <w:t>除盐水系统</w:t>
            </w:r>
          </w:p>
        </w:tc>
        <w:tc>
          <w:tcPr>
            <w:tcW w:w="2226" w:type="dxa"/>
            <w:tcBorders>
              <w:top w:val="single" w:color="auto" w:sz="4" w:space="0"/>
            </w:tcBorders>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设计规模2×100 m</w:t>
            </w:r>
            <w:r>
              <w:rPr>
                <w:rFonts w:eastAsia="宋体"/>
                <w:kern w:val="2"/>
                <w:sz w:val="21"/>
                <w:szCs w:val="21"/>
                <w:vertAlign w:val="superscript"/>
              </w:rPr>
              <w:t>3/</w:t>
            </w:r>
            <w:r>
              <w:rPr>
                <w:rFonts w:eastAsia="宋体"/>
                <w:kern w:val="2"/>
                <w:sz w:val="21"/>
                <w:szCs w:val="21"/>
              </w:rPr>
              <w:t>h，采用反渗透</w:t>
            </w:r>
          </w:p>
        </w:tc>
        <w:tc>
          <w:tcPr>
            <w:tcW w:w="2484" w:type="dxa"/>
            <w:vAlign w:val="center"/>
          </w:tcPr>
          <w:p>
            <w:pPr>
              <w:pStyle w:val="14"/>
              <w:widowControl w:val="0"/>
              <w:autoSpaceDE/>
              <w:autoSpaceDN/>
              <w:spacing w:line="0" w:lineRule="atLeast"/>
              <w:ind w:firstLine="0" w:firstLineChars="0"/>
              <w:textAlignment w:val="auto"/>
              <w:rPr>
                <w:rFonts w:eastAsia="宋体"/>
                <w:kern w:val="2"/>
                <w:sz w:val="21"/>
                <w:szCs w:val="21"/>
              </w:rPr>
            </w:pPr>
            <w:r>
              <w:rPr>
                <w:rFonts w:eastAsia="宋体"/>
                <w:kern w:val="2"/>
                <w:sz w:val="21"/>
                <w:szCs w:val="21"/>
              </w:rPr>
              <w:t>设计规模2×100 m</w:t>
            </w:r>
            <w:r>
              <w:rPr>
                <w:rFonts w:eastAsia="宋体"/>
                <w:kern w:val="2"/>
                <w:sz w:val="21"/>
                <w:szCs w:val="21"/>
                <w:vertAlign w:val="superscript"/>
              </w:rPr>
              <w:t>3/</w:t>
            </w:r>
            <w:r>
              <w:rPr>
                <w:rFonts w:eastAsia="宋体"/>
                <w:kern w:val="2"/>
                <w:sz w:val="21"/>
                <w:szCs w:val="21"/>
              </w:rPr>
              <w:t>h，采用反渗透</w:t>
            </w:r>
          </w:p>
        </w:tc>
        <w:tc>
          <w:tcPr>
            <w:tcW w:w="2037" w:type="dxa"/>
            <w:vAlign w:val="center"/>
          </w:tcPr>
          <w:p>
            <w:pPr>
              <w:pStyle w:val="8"/>
              <w:widowControl w:val="0"/>
              <w:spacing w:before="0" w:beforeAutospacing="0" w:after="0" w:afterAutospacing="0" w:line="240" w:lineRule="exact"/>
              <w:ind w:firstLine="420"/>
              <w:rPr>
                <w:rFonts w:ascii="Times New Roman" w:hAnsi="Times New Roman"/>
                <w:kern w:val="2"/>
                <w:sz w:val="21"/>
                <w:szCs w:val="21"/>
              </w:rPr>
            </w:pPr>
            <w:r>
              <w:rPr>
                <w:rFonts w:ascii="Times New Roman" w:hAnsi="Times New Roman"/>
                <w:kern w:val="2"/>
                <w:sz w:val="21"/>
                <w:szCs w:val="21"/>
              </w:rPr>
              <w:t>建设规模为 2×100t/h（反渗透）的除盐水站</w:t>
            </w:r>
          </w:p>
        </w:tc>
        <w:tc>
          <w:tcPr>
            <w:tcW w:w="867" w:type="dxa"/>
            <w:vAlign w:val="center"/>
          </w:tcPr>
          <w:p>
            <w:pPr>
              <w:pStyle w:val="14"/>
              <w:widowControl w:val="0"/>
              <w:autoSpaceDE/>
              <w:autoSpaceDN/>
              <w:spacing w:line="0" w:lineRule="atLeast"/>
              <w:ind w:firstLine="0" w:firstLineChars="0"/>
              <w:jc w:val="both"/>
              <w:textAlignment w:val="auto"/>
            </w:pPr>
            <w:r>
              <w:rPr>
                <w:rFonts w:eastAsia="宋体"/>
                <w:kern w:val="2"/>
                <w:sz w:val="21"/>
                <w:szCs w:val="21"/>
              </w:rPr>
              <w:t>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438" w:type="dxa"/>
            <w:vMerge w:val="continue"/>
            <w:vAlign w:val="center"/>
          </w:tcPr>
          <w:p>
            <w:pPr>
              <w:pStyle w:val="12"/>
              <w:ind w:firstLine="0" w:firstLineChars="0"/>
              <w:rPr>
                <w:color w:val="000000"/>
              </w:rPr>
            </w:pPr>
          </w:p>
        </w:tc>
        <w:tc>
          <w:tcPr>
            <w:tcW w:w="848" w:type="dxa"/>
            <w:vAlign w:val="center"/>
          </w:tcPr>
          <w:p>
            <w:pPr>
              <w:pStyle w:val="14"/>
              <w:widowControl w:val="0"/>
              <w:autoSpaceDE/>
              <w:autoSpaceDN/>
              <w:spacing w:line="240" w:lineRule="auto"/>
              <w:ind w:firstLine="0" w:firstLineChars="0"/>
              <w:textAlignment w:val="auto"/>
              <w:rPr>
                <w:rFonts w:eastAsia="宋体"/>
                <w:spacing w:val="-12"/>
                <w:kern w:val="2"/>
                <w:sz w:val="21"/>
                <w:szCs w:val="21"/>
              </w:rPr>
            </w:pPr>
            <w:r>
              <w:rPr>
                <w:rFonts w:eastAsia="宋体"/>
                <w:kern w:val="2"/>
                <w:sz w:val="21"/>
                <w:szCs w:val="21"/>
              </w:rPr>
              <w:t>凝结水站</w:t>
            </w:r>
          </w:p>
        </w:tc>
        <w:tc>
          <w:tcPr>
            <w:tcW w:w="2226" w:type="dxa"/>
            <w:vAlign w:val="center"/>
          </w:tcPr>
          <w:p>
            <w:pPr>
              <w:pStyle w:val="14"/>
              <w:widowControl w:val="0"/>
              <w:ind w:firstLine="0" w:firstLineChars="0"/>
              <w:rPr>
                <w:rFonts w:eastAsia="宋体"/>
                <w:kern w:val="2"/>
                <w:sz w:val="21"/>
                <w:szCs w:val="21"/>
              </w:rPr>
            </w:pPr>
            <w:r>
              <w:rPr>
                <w:rFonts w:eastAsia="宋体"/>
                <w:kern w:val="2"/>
                <w:sz w:val="21"/>
                <w:szCs w:val="21"/>
              </w:rPr>
              <w:t>装置凝结水处理能力150 m</w:t>
            </w:r>
            <w:r>
              <w:rPr>
                <w:rFonts w:eastAsia="宋体"/>
                <w:kern w:val="2"/>
                <w:sz w:val="21"/>
                <w:szCs w:val="21"/>
                <w:vertAlign w:val="superscript"/>
              </w:rPr>
              <w:t>3</w:t>
            </w:r>
            <w:r>
              <w:rPr>
                <w:rFonts w:eastAsia="宋体"/>
                <w:kern w:val="2"/>
                <w:sz w:val="21"/>
                <w:szCs w:val="21"/>
              </w:rPr>
              <w:t>/h</w:t>
            </w:r>
          </w:p>
        </w:tc>
        <w:tc>
          <w:tcPr>
            <w:tcW w:w="2484" w:type="dxa"/>
            <w:vAlign w:val="center"/>
          </w:tcPr>
          <w:p>
            <w:pPr>
              <w:pStyle w:val="14"/>
              <w:widowControl w:val="0"/>
              <w:ind w:firstLine="420"/>
              <w:rPr>
                <w:color w:val="FF0000"/>
              </w:rPr>
            </w:pPr>
            <w:r>
              <w:rPr>
                <w:rFonts w:eastAsia="宋体"/>
                <w:kern w:val="2"/>
                <w:sz w:val="21"/>
                <w:szCs w:val="21"/>
              </w:rPr>
              <w:t>装置凝结水处理能力150 m</w:t>
            </w:r>
            <w:r>
              <w:rPr>
                <w:rFonts w:eastAsia="宋体"/>
                <w:kern w:val="2"/>
                <w:sz w:val="21"/>
                <w:szCs w:val="21"/>
                <w:vertAlign w:val="superscript"/>
              </w:rPr>
              <w:t>3</w:t>
            </w:r>
            <w:r>
              <w:rPr>
                <w:rFonts w:eastAsia="宋体"/>
                <w:kern w:val="2"/>
                <w:sz w:val="21"/>
                <w:szCs w:val="21"/>
              </w:rPr>
              <w:t>/h</w:t>
            </w:r>
          </w:p>
        </w:tc>
        <w:tc>
          <w:tcPr>
            <w:tcW w:w="2037" w:type="dxa"/>
            <w:vAlign w:val="center"/>
          </w:tcPr>
          <w:p>
            <w:pPr>
              <w:pStyle w:val="14"/>
              <w:widowControl w:val="0"/>
              <w:ind w:firstLine="420"/>
            </w:pPr>
            <w:r>
              <w:rPr>
                <w:rFonts w:eastAsia="宋体"/>
                <w:kern w:val="2"/>
                <w:sz w:val="21"/>
                <w:szCs w:val="24"/>
              </w:rPr>
              <w:t>建设规模为 80t/h 的凝结水站</w:t>
            </w:r>
          </w:p>
        </w:tc>
        <w:tc>
          <w:tcPr>
            <w:tcW w:w="867" w:type="dxa"/>
            <w:vAlign w:val="center"/>
          </w:tcPr>
          <w:p>
            <w:pPr>
              <w:pStyle w:val="12"/>
              <w:ind w:firstLine="0" w:firstLineChars="0"/>
            </w:pPr>
            <w:r>
              <w:rPr>
                <w:b w:val="0"/>
                <w:kern w:val="2"/>
                <w:sz w:val="21"/>
                <w:szCs w:val="21"/>
              </w:rPr>
              <w:t>不一致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438" w:type="dxa"/>
            <w:vMerge w:val="continue"/>
            <w:vAlign w:val="center"/>
          </w:tcPr>
          <w:p>
            <w:pPr>
              <w:pStyle w:val="12"/>
              <w:ind w:firstLine="0" w:firstLineChars="0"/>
              <w:rPr>
                <w:color w:val="000000"/>
              </w:rPr>
            </w:pPr>
          </w:p>
        </w:tc>
        <w:tc>
          <w:tcPr>
            <w:tcW w:w="848" w:type="dxa"/>
            <w:vAlign w:val="center"/>
          </w:tcPr>
          <w:p>
            <w:pPr>
              <w:pStyle w:val="14"/>
              <w:widowControl w:val="0"/>
              <w:autoSpaceDE/>
              <w:autoSpaceDN/>
              <w:spacing w:line="240" w:lineRule="auto"/>
              <w:ind w:firstLine="0" w:firstLineChars="0"/>
              <w:textAlignment w:val="auto"/>
              <w:rPr>
                <w:rFonts w:eastAsia="宋体"/>
                <w:kern w:val="2"/>
                <w:sz w:val="21"/>
                <w:szCs w:val="21"/>
              </w:rPr>
            </w:pPr>
            <w:r>
              <w:rPr>
                <w:rFonts w:eastAsia="宋体"/>
                <w:kern w:val="2"/>
                <w:sz w:val="21"/>
                <w:szCs w:val="21"/>
              </w:rPr>
              <w:t>空压站</w:t>
            </w:r>
          </w:p>
        </w:tc>
        <w:tc>
          <w:tcPr>
            <w:tcW w:w="2226" w:type="dxa"/>
            <w:vAlign w:val="center"/>
          </w:tcPr>
          <w:p>
            <w:pPr>
              <w:pStyle w:val="14"/>
              <w:widowControl w:val="0"/>
              <w:autoSpaceDE/>
              <w:autoSpaceDN/>
              <w:spacing w:line="240" w:lineRule="auto"/>
              <w:ind w:firstLine="0" w:firstLineChars="0"/>
              <w:textAlignment w:val="auto"/>
              <w:rPr>
                <w:rFonts w:eastAsia="宋体"/>
                <w:kern w:val="2"/>
                <w:sz w:val="21"/>
                <w:szCs w:val="21"/>
              </w:rPr>
            </w:pPr>
            <w:r>
              <w:rPr>
                <w:rFonts w:eastAsia="宋体"/>
                <w:kern w:val="2"/>
                <w:sz w:val="21"/>
                <w:szCs w:val="21"/>
              </w:rPr>
              <w:t>150 Nm</w:t>
            </w:r>
            <w:r>
              <w:rPr>
                <w:rFonts w:eastAsia="宋体"/>
                <w:kern w:val="2"/>
                <w:sz w:val="21"/>
                <w:szCs w:val="21"/>
                <w:vertAlign w:val="superscript"/>
              </w:rPr>
              <w:t>3</w:t>
            </w:r>
            <w:r>
              <w:rPr>
                <w:rFonts w:eastAsia="宋体"/>
                <w:kern w:val="2"/>
                <w:sz w:val="21"/>
                <w:szCs w:val="21"/>
              </w:rPr>
              <w:t>/min、0.85MPaG离心式压缩机3台，开2备1，总压空气负荷（含制氮）88.6Nm</w:t>
            </w:r>
            <w:r>
              <w:rPr>
                <w:rFonts w:eastAsia="宋体"/>
                <w:kern w:val="2"/>
                <w:sz w:val="21"/>
                <w:szCs w:val="21"/>
                <w:vertAlign w:val="superscript"/>
              </w:rPr>
              <w:t>3</w:t>
            </w:r>
            <w:r>
              <w:rPr>
                <w:rFonts w:eastAsia="宋体"/>
                <w:kern w:val="2"/>
                <w:sz w:val="21"/>
                <w:szCs w:val="21"/>
              </w:rPr>
              <w:t>/min，间断最大负荷188.27 Nm</w:t>
            </w:r>
            <w:r>
              <w:rPr>
                <w:rFonts w:eastAsia="宋体"/>
                <w:kern w:val="2"/>
                <w:sz w:val="21"/>
                <w:szCs w:val="21"/>
                <w:vertAlign w:val="superscript"/>
              </w:rPr>
              <w:t>3</w:t>
            </w:r>
            <w:r>
              <w:rPr>
                <w:rFonts w:eastAsia="宋体"/>
                <w:kern w:val="2"/>
                <w:sz w:val="21"/>
                <w:szCs w:val="21"/>
              </w:rPr>
              <w:t>/min</w:t>
            </w:r>
          </w:p>
        </w:tc>
        <w:tc>
          <w:tcPr>
            <w:tcW w:w="2484" w:type="dxa"/>
            <w:vAlign w:val="center"/>
          </w:tcPr>
          <w:p>
            <w:pPr>
              <w:spacing w:line="240" w:lineRule="exact"/>
              <w:ind w:firstLine="420"/>
              <w:jc w:val="center"/>
              <w:rPr>
                <w:color w:val="000000"/>
              </w:rPr>
            </w:pPr>
            <w:r>
              <w:rPr>
                <w:kern w:val="2"/>
                <w:sz w:val="21"/>
                <w:szCs w:val="21"/>
              </w:rPr>
              <w:t>全厂已有空压站配150Nm</w:t>
            </w:r>
            <w:r>
              <w:rPr>
                <w:kern w:val="2"/>
                <w:sz w:val="21"/>
                <w:szCs w:val="21"/>
                <w:vertAlign w:val="superscript"/>
              </w:rPr>
              <w:t>3</w:t>
            </w:r>
            <w:r>
              <w:rPr>
                <w:kern w:val="2"/>
                <w:sz w:val="21"/>
                <w:szCs w:val="21"/>
              </w:rPr>
              <w:t>/min、0.85MpaG离心式空气压缩机3台，2开1备，10000V电机驱动，配套后处理干燥系统采用无热再生干燥机组2套，1开1备；空压系统冷却用循环水由厂区冷却循环水管网提供，空压机房内设30t电动单梁桥式起重机一台。</w:t>
            </w:r>
          </w:p>
        </w:tc>
        <w:tc>
          <w:tcPr>
            <w:tcW w:w="2037" w:type="dxa"/>
            <w:vAlign w:val="center"/>
          </w:tcPr>
          <w:p>
            <w:pPr>
              <w:pStyle w:val="8"/>
              <w:widowControl w:val="0"/>
              <w:spacing w:before="0" w:beforeAutospacing="0" w:after="0" w:afterAutospacing="0" w:line="240" w:lineRule="exact"/>
              <w:ind w:firstLine="420"/>
              <w:rPr>
                <w:rFonts w:ascii="Times New Roman" w:hAnsi="Times New Roman"/>
              </w:rPr>
            </w:pPr>
            <w:r>
              <w:rPr>
                <w:rFonts w:ascii="Times New Roman" w:hAnsi="Times New Roman"/>
                <w:kern w:val="2"/>
                <w:sz w:val="21"/>
                <w:szCs w:val="21"/>
              </w:rPr>
              <w:t>建设规模为三台 150m</w:t>
            </w:r>
            <w:r>
              <w:rPr>
                <w:rFonts w:ascii="Times New Roman" w:hAnsi="Times New Roman"/>
                <w:kern w:val="2"/>
                <w:sz w:val="21"/>
                <w:szCs w:val="21"/>
                <w:vertAlign w:val="superscript"/>
              </w:rPr>
              <w:t>3</w:t>
            </w:r>
            <w:r>
              <w:rPr>
                <w:rFonts w:ascii="Times New Roman" w:hAnsi="Times New Roman"/>
                <w:kern w:val="2"/>
                <w:sz w:val="21"/>
                <w:szCs w:val="21"/>
              </w:rPr>
              <w:t xml:space="preserve"> /min、0.8MPa(A)，空气压缩机，二套 120Nm</w:t>
            </w:r>
            <w:r>
              <w:rPr>
                <w:rFonts w:ascii="Times New Roman" w:hAnsi="Times New Roman"/>
                <w:kern w:val="2"/>
                <w:sz w:val="21"/>
                <w:szCs w:val="21"/>
                <w:vertAlign w:val="superscript"/>
              </w:rPr>
              <w:t>3</w:t>
            </w:r>
            <w:r>
              <w:rPr>
                <w:rFonts w:ascii="Times New Roman" w:hAnsi="Times New Roman"/>
                <w:kern w:val="2"/>
                <w:sz w:val="21"/>
                <w:szCs w:val="21"/>
              </w:rPr>
              <w:t xml:space="preserve"> /min 微热再生空气干燥装置和二套 500Nm</w:t>
            </w:r>
            <w:r>
              <w:rPr>
                <w:rFonts w:ascii="Times New Roman" w:hAnsi="Times New Roman"/>
                <w:kern w:val="2"/>
                <w:sz w:val="21"/>
                <w:szCs w:val="21"/>
                <w:vertAlign w:val="superscript"/>
              </w:rPr>
              <w:t>3</w:t>
            </w:r>
            <w:r>
              <w:rPr>
                <w:rFonts w:ascii="Times New Roman" w:hAnsi="Times New Roman"/>
                <w:kern w:val="2"/>
                <w:sz w:val="21"/>
                <w:szCs w:val="21"/>
              </w:rPr>
              <w:t xml:space="preserve"> /hPSA 制氮机</w:t>
            </w:r>
          </w:p>
        </w:tc>
        <w:tc>
          <w:tcPr>
            <w:tcW w:w="867" w:type="dxa"/>
            <w:vAlign w:val="center"/>
          </w:tcPr>
          <w:p>
            <w:pPr>
              <w:pStyle w:val="12"/>
              <w:ind w:firstLine="0" w:firstLineChars="0"/>
            </w:pPr>
            <w:r>
              <w:rPr>
                <w:b w:val="0"/>
                <w:kern w:val="2"/>
                <w:sz w:val="21"/>
                <w:szCs w:val="21"/>
              </w:rPr>
              <w:t>不一致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438" w:type="dxa"/>
            <w:vMerge w:val="continue"/>
            <w:vAlign w:val="center"/>
          </w:tcPr>
          <w:p>
            <w:pPr>
              <w:pStyle w:val="12"/>
              <w:ind w:firstLine="0" w:firstLineChars="0"/>
              <w:rPr>
                <w:color w:val="000000"/>
              </w:rPr>
            </w:pPr>
          </w:p>
        </w:tc>
        <w:tc>
          <w:tcPr>
            <w:tcW w:w="848" w:type="dxa"/>
            <w:vAlign w:val="center"/>
          </w:tcPr>
          <w:p>
            <w:pPr>
              <w:pStyle w:val="14"/>
              <w:widowControl w:val="0"/>
              <w:autoSpaceDE/>
              <w:autoSpaceDN/>
              <w:spacing w:line="240" w:lineRule="auto"/>
              <w:ind w:firstLine="0" w:firstLineChars="0"/>
              <w:textAlignment w:val="auto"/>
              <w:rPr>
                <w:rFonts w:eastAsia="宋体"/>
                <w:kern w:val="2"/>
                <w:sz w:val="21"/>
                <w:szCs w:val="21"/>
              </w:rPr>
            </w:pPr>
            <w:r>
              <w:rPr>
                <w:rFonts w:eastAsia="宋体"/>
                <w:kern w:val="2"/>
                <w:sz w:val="21"/>
                <w:szCs w:val="21"/>
              </w:rPr>
              <w:t>供、配电</w:t>
            </w:r>
          </w:p>
        </w:tc>
        <w:tc>
          <w:tcPr>
            <w:tcW w:w="2226" w:type="dxa"/>
            <w:vAlign w:val="center"/>
          </w:tcPr>
          <w:p>
            <w:pPr>
              <w:pStyle w:val="14"/>
              <w:widowControl w:val="0"/>
              <w:autoSpaceDE/>
              <w:autoSpaceDN/>
              <w:spacing w:line="240" w:lineRule="auto"/>
              <w:ind w:firstLine="0" w:firstLineChars="0"/>
              <w:textAlignment w:val="auto"/>
              <w:rPr>
                <w:rFonts w:eastAsia="宋体"/>
                <w:kern w:val="2"/>
                <w:sz w:val="21"/>
                <w:szCs w:val="21"/>
              </w:rPr>
            </w:pPr>
            <w:r>
              <w:rPr>
                <w:rFonts w:eastAsia="宋体"/>
                <w:kern w:val="2"/>
                <w:sz w:val="21"/>
                <w:szCs w:val="21"/>
              </w:rPr>
              <w:t>采用双回路供电，35/10kV总变配电所，与10/0.4/0.23kV变电所变配电所一起设计，供给全厂用电</w:t>
            </w:r>
          </w:p>
        </w:tc>
        <w:tc>
          <w:tcPr>
            <w:tcW w:w="2484" w:type="dxa"/>
            <w:vAlign w:val="center"/>
          </w:tcPr>
          <w:p>
            <w:pPr>
              <w:pStyle w:val="12"/>
              <w:spacing w:line="240" w:lineRule="exact"/>
              <w:ind w:firstLine="0" w:firstLineChars="0"/>
              <w:rPr>
                <w:b w:val="0"/>
                <w:kern w:val="2"/>
                <w:sz w:val="21"/>
                <w:szCs w:val="21"/>
              </w:rPr>
            </w:pPr>
            <w:r>
              <w:rPr>
                <w:b w:val="0"/>
                <w:kern w:val="2"/>
                <w:sz w:val="21"/>
                <w:szCs w:val="21"/>
              </w:rPr>
              <w:t>全厂已建成35/10kV总变配电所，采用双电源供电</w:t>
            </w:r>
          </w:p>
        </w:tc>
        <w:tc>
          <w:tcPr>
            <w:tcW w:w="2037" w:type="dxa"/>
            <w:vAlign w:val="center"/>
          </w:tcPr>
          <w:p>
            <w:pPr>
              <w:pStyle w:val="12"/>
              <w:spacing w:line="240" w:lineRule="exact"/>
              <w:ind w:firstLine="0" w:firstLineChars="0"/>
              <w:rPr>
                <w:b w:val="0"/>
                <w:kern w:val="2"/>
                <w:sz w:val="21"/>
                <w:szCs w:val="21"/>
              </w:rPr>
            </w:pPr>
            <w:r>
              <w:rPr>
                <w:b w:val="0"/>
                <w:kern w:val="2"/>
                <w:sz w:val="21"/>
                <w:szCs w:val="21"/>
              </w:rPr>
              <w:t>采用双回路供电，35/10kV总变配电所，与10/0.4/0.23kV变电所变配电所一起设计，供给全厂用电</w:t>
            </w:r>
          </w:p>
        </w:tc>
        <w:tc>
          <w:tcPr>
            <w:tcW w:w="867" w:type="dxa"/>
            <w:vAlign w:val="center"/>
          </w:tcPr>
          <w:p>
            <w:pPr>
              <w:pStyle w:val="12"/>
              <w:ind w:firstLine="0" w:firstLineChars="0"/>
              <w:rPr>
                <w:b w:val="0"/>
                <w:kern w:val="2"/>
                <w:sz w:val="21"/>
                <w:szCs w:val="21"/>
              </w:rPr>
            </w:pPr>
            <w:r>
              <w:rPr>
                <w:b w:val="0"/>
                <w:kern w:val="2"/>
                <w:sz w:val="21"/>
                <w:szCs w:val="21"/>
              </w:rPr>
              <w:t>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31" w:hRule="atLeast"/>
        </w:trPr>
        <w:tc>
          <w:tcPr>
            <w:tcW w:w="438" w:type="dxa"/>
            <w:vMerge w:val="continue"/>
            <w:vAlign w:val="center"/>
          </w:tcPr>
          <w:p>
            <w:pPr>
              <w:pStyle w:val="12"/>
              <w:ind w:firstLine="0" w:firstLineChars="0"/>
              <w:rPr>
                <w:color w:val="000000"/>
              </w:rPr>
            </w:pPr>
          </w:p>
        </w:tc>
        <w:tc>
          <w:tcPr>
            <w:tcW w:w="848" w:type="dxa"/>
            <w:vAlign w:val="center"/>
          </w:tcPr>
          <w:p>
            <w:pPr>
              <w:pStyle w:val="14"/>
              <w:widowControl w:val="0"/>
              <w:autoSpaceDE/>
              <w:autoSpaceDN/>
              <w:spacing w:line="240" w:lineRule="auto"/>
              <w:ind w:firstLine="0" w:firstLineChars="0"/>
              <w:textAlignment w:val="auto"/>
              <w:rPr>
                <w:rFonts w:eastAsia="宋体"/>
                <w:kern w:val="2"/>
                <w:sz w:val="21"/>
                <w:szCs w:val="21"/>
              </w:rPr>
            </w:pPr>
            <w:r>
              <w:rPr>
                <w:rFonts w:eastAsia="宋体"/>
                <w:kern w:val="2"/>
                <w:sz w:val="21"/>
                <w:szCs w:val="21"/>
              </w:rPr>
              <w:t>供热</w:t>
            </w:r>
          </w:p>
        </w:tc>
        <w:tc>
          <w:tcPr>
            <w:tcW w:w="2226" w:type="dxa"/>
            <w:vAlign w:val="center"/>
          </w:tcPr>
          <w:p>
            <w:pPr>
              <w:pStyle w:val="14"/>
              <w:widowControl w:val="0"/>
              <w:autoSpaceDE/>
              <w:autoSpaceDN/>
              <w:spacing w:line="240" w:lineRule="auto"/>
              <w:ind w:firstLine="0" w:firstLineChars="0"/>
              <w:textAlignment w:val="auto"/>
              <w:rPr>
                <w:rFonts w:eastAsia="宋体"/>
                <w:color w:val="auto"/>
                <w:kern w:val="2"/>
                <w:sz w:val="21"/>
                <w:szCs w:val="21"/>
              </w:rPr>
            </w:pPr>
            <w:r>
              <w:rPr>
                <w:rFonts w:eastAsia="宋体"/>
                <w:color w:val="auto"/>
                <w:spacing w:val="-10"/>
                <w:kern w:val="2"/>
                <w:sz w:val="21"/>
                <w:szCs w:val="21"/>
              </w:rPr>
              <w:t>新建动力站一座，包括45t/h燃气中压开工锅炉1台，以裂解气作为燃料；正常生产时动力站所产蒸汽和装置富余蒸汽外送，配套的蒸汽管网及热力管网</w:t>
            </w:r>
          </w:p>
        </w:tc>
        <w:tc>
          <w:tcPr>
            <w:tcW w:w="2484" w:type="dxa"/>
            <w:vAlign w:val="center"/>
          </w:tcPr>
          <w:p>
            <w:pPr>
              <w:pStyle w:val="12"/>
              <w:spacing w:line="240" w:lineRule="exact"/>
              <w:ind w:firstLine="0" w:firstLineChars="0"/>
              <w:rPr>
                <w:b w:val="0"/>
                <w:color w:val="auto"/>
                <w:kern w:val="2"/>
                <w:sz w:val="21"/>
                <w:szCs w:val="21"/>
              </w:rPr>
            </w:pPr>
            <w:r>
              <w:rPr>
                <w:b w:val="0"/>
                <w:color w:val="auto"/>
                <w:kern w:val="2"/>
                <w:sz w:val="21"/>
                <w:szCs w:val="21"/>
              </w:rPr>
              <w:t>全厂设置动力站一座，包括包括</w:t>
            </w:r>
            <w:r>
              <w:rPr>
                <w:rFonts w:hint="eastAsia"/>
                <w:b w:val="0"/>
                <w:color w:val="auto"/>
                <w:kern w:val="2"/>
                <w:sz w:val="21"/>
                <w:szCs w:val="21"/>
              </w:rPr>
              <w:t>6</w:t>
            </w:r>
            <w:r>
              <w:rPr>
                <w:b w:val="0"/>
                <w:color w:val="auto"/>
                <w:kern w:val="2"/>
                <w:sz w:val="21"/>
                <w:szCs w:val="21"/>
              </w:rPr>
              <w:t>5t/h燃气中压开工锅炉1台，以脱硫燃料气作为燃料，锅炉用于工厂开工，正常生产时的产气外送</w:t>
            </w:r>
          </w:p>
        </w:tc>
        <w:tc>
          <w:tcPr>
            <w:tcW w:w="2037" w:type="dxa"/>
            <w:vAlign w:val="center"/>
          </w:tcPr>
          <w:p>
            <w:pPr>
              <w:pStyle w:val="12"/>
              <w:spacing w:line="240" w:lineRule="exact"/>
              <w:ind w:firstLine="0" w:firstLineChars="0"/>
              <w:rPr>
                <w:b w:val="0"/>
                <w:color w:val="auto"/>
                <w:kern w:val="2"/>
                <w:sz w:val="21"/>
                <w:szCs w:val="21"/>
              </w:rPr>
            </w:pPr>
            <w:r>
              <w:rPr>
                <w:rFonts w:hint="eastAsia"/>
                <w:b w:val="0"/>
                <w:color w:val="auto"/>
                <w:kern w:val="2"/>
                <w:sz w:val="21"/>
                <w:szCs w:val="21"/>
              </w:rPr>
              <w:t>6</w:t>
            </w:r>
            <w:r>
              <w:rPr>
                <w:b w:val="0"/>
                <w:color w:val="auto"/>
                <w:kern w:val="2"/>
                <w:sz w:val="21"/>
                <w:szCs w:val="21"/>
              </w:rPr>
              <w:t>5t/h燃气中压开工锅炉1台</w:t>
            </w:r>
          </w:p>
        </w:tc>
        <w:tc>
          <w:tcPr>
            <w:tcW w:w="867" w:type="dxa"/>
            <w:vAlign w:val="center"/>
          </w:tcPr>
          <w:p>
            <w:pPr>
              <w:pStyle w:val="12"/>
              <w:ind w:firstLine="0" w:firstLineChars="0"/>
              <w:rPr>
                <w:b w:val="0"/>
                <w:color w:val="auto"/>
                <w:kern w:val="2"/>
                <w:sz w:val="21"/>
                <w:szCs w:val="21"/>
              </w:rPr>
            </w:pPr>
            <w:r>
              <w:rPr>
                <w:rFonts w:hint="eastAsia"/>
                <w:b w:val="0"/>
                <w:color w:val="auto"/>
                <w:kern w:val="2"/>
                <w:sz w:val="21"/>
                <w:szCs w:val="21"/>
              </w:rPr>
              <w:t>不一致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89" w:hRule="atLeast"/>
        </w:trPr>
        <w:tc>
          <w:tcPr>
            <w:tcW w:w="438" w:type="dxa"/>
            <w:vMerge w:val="restart"/>
            <w:vAlign w:val="center"/>
          </w:tcPr>
          <w:p>
            <w:pPr>
              <w:pStyle w:val="13"/>
              <w:spacing w:line="240" w:lineRule="auto"/>
              <w:rPr>
                <w:color w:val="auto"/>
                <w:szCs w:val="21"/>
              </w:rPr>
            </w:pPr>
            <w:r>
              <w:rPr>
                <w:color w:val="auto"/>
                <w:szCs w:val="21"/>
              </w:rPr>
              <w:t>储运工程</w:t>
            </w:r>
          </w:p>
        </w:tc>
        <w:tc>
          <w:tcPr>
            <w:tcW w:w="848" w:type="dxa"/>
            <w:vAlign w:val="center"/>
          </w:tcPr>
          <w:p>
            <w:pPr>
              <w:pStyle w:val="13"/>
              <w:spacing w:line="240" w:lineRule="auto"/>
              <w:rPr>
                <w:color w:val="FF0000"/>
                <w:szCs w:val="21"/>
              </w:rPr>
            </w:pPr>
            <w:r>
              <w:rPr>
                <w:color w:val="auto"/>
                <w:szCs w:val="21"/>
              </w:rPr>
              <w:t>罐区</w:t>
            </w:r>
          </w:p>
        </w:tc>
        <w:tc>
          <w:tcPr>
            <w:tcW w:w="2226" w:type="dxa"/>
            <w:vAlign w:val="center"/>
          </w:tcPr>
          <w:p>
            <w:pPr>
              <w:pStyle w:val="14"/>
              <w:widowControl w:val="0"/>
              <w:spacing w:line="240" w:lineRule="auto"/>
              <w:ind w:firstLine="420"/>
              <w:rPr>
                <w:kern w:val="2"/>
                <w:sz w:val="21"/>
                <w:szCs w:val="21"/>
              </w:rPr>
            </w:pPr>
            <w:r>
              <w:rPr>
                <w:rFonts w:eastAsia="宋体"/>
                <w:kern w:val="2"/>
                <w:sz w:val="21"/>
                <w:szCs w:val="21"/>
              </w:rPr>
              <w:t>包括原料罐区、中间罐区、成品罐区、液化烃罐区，共计49台储罐，总容积30.3×10</w:t>
            </w:r>
            <w:r>
              <w:rPr>
                <w:rFonts w:eastAsia="宋体"/>
                <w:kern w:val="2"/>
                <w:sz w:val="21"/>
                <w:szCs w:val="21"/>
                <w:vertAlign w:val="superscript"/>
              </w:rPr>
              <w:t>4</w:t>
            </w:r>
            <w:r>
              <w:rPr>
                <w:rFonts w:eastAsia="宋体"/>
                <w:kern w:val="2"/>
                <w:sz w:val="21"/>
                <w:szCs w:val="21"/>
              </w:rPr>
              <w:t>m</w:t>
            </w:r>
            <w:r>
              <w:rPr>
                <w:rFonts w:eastAsia="宋体"/>
                <w:kern w:val="2"/>
                <w:sz w:val="21"/>
                <w:szCs w:val="21"/>
                <w:vertAlign w:val="superscript"/>
              </w:rPr>
              <w:t>3</w:t>
            </w:r>
            <w:r>
              <w:rPr>
                <w:rFonts w:eastAsia="宋体"/>
                <w:kern w:val="2"/>
                <w:sz w:val="21"/>
                <w:szCs w:val="21"/>
              </w:rPr>
              <w:t>，后续建设工程依据实际情况调整</w:t>
            </w:r>
          </w:p>
        </w:tc>
        <w:tc>
          <w:tcPr>
            <w:tcW w:w="2484" w:type="dxa"/>
            <w:vAlign w:val="center"/>
          </w:tcPr>
          <w:p>
            <w:pPr>
              <w:pStyle w:val="12"/>
              <w:spacing w:line="240" w:lineRule="exact"/>
              <w:ind w:firstLine="0" w:firstLineChars="0"/>
              <w:rPr>
                <w:b w:val="0"/>
                <w:kern w:val="2"/>
                <w:sz w:val="21"/>
                <w:szCs w:val="21"/>
              </w:rPr>
            </w:pPr>
            <w:r>
              <w:rPr>
                <w:b w:val="0"/>
                <w:kern w:val="2"/>
                <w:sz w:val="21"/>
                <w:szCs w:val="21"/>
              </w:rPr>
              <w:t>10万吨/年丙烯及联产芳烃工程原料油罐区、中间原料油罐区、成品油罐区、液化烃罐区共计34台储罐，总容积22.2×104m</w:t>
            </w:r>
            <w:r>
              <w:rPr>
                <w:b w:val="0"/>
                <w:kern w:val="2"/>
                <w:sz w:val="21"/>
                <w:szCs w:val="21"/>
                <w:vertAlign w:val="superscript"/>
              </w:rPr>
              <w:t>3</w:t>
            </w:r>
            <w:r>
              <w:rPr>
                <w:b w:val="0"/>
                <w:kern w:val="2"/>
                <w:sz w:val="21"/>
                <w:szCs w:val="21"/>
              </w:rPr>
              <w:t>，260万吨/年原油预处理装置需产品罐依托已有罐区，不需要新建；原料油罐、中间储罐需改造和新建，共新建12座储罐，共计7.2×104m</w:t>
            </w:r>
            <w:r>
              <w:rPr>
                <w:b w:val="0"/>
                <w:kern w:val="2"/>
                <w:sz w:val="21"/>
                <w:szCs w:val="21"/>
                <w:vertAlign w:val="superscript"/>
              </w:rPr>
              <w:t>3</w:t>
            </w:r>
            <w:r>
              <w:rPr>
                <w:b w:val="0"/>
                <w:kern w:val="2"/>
                <w:sz w:val="21"/>
                <w:szCs w:val="21"/>
              </w:rPr>
              <w:t>；改造储罐15座，共计11.1×104m</w:t>
            </w:r>
            <w:r>
              <w:rPr>
                <w:b w:val="0"/>
                <w:kern w:val="2"/>
                <w:sz w:val="21"/>
                <w:szCs w:val="21"/>
                <w:vertAlign w:val="superscript"/>
              </w:rPr>
              <w:t>3</w:t>
            </w:r>
          </w:p>
        </w:tc>
        <w:tc>
          <w:tcPr>
            <w:tcW w:w="2037" w:type="dxa"/>
            <w:vAlign w:val="center"/>
          </w:tcPr>
          <w:p>
            <w:pPr>
              <w:pStyle w:val="12"/>
              <w:spacing w:line="240" w:lineRule="exact"/>
              <w:ind w:firstLine="0" w:firstLineChars="0"/>
            </w:pPr>
            <w:r>
              <w:rPr>
                <w:b w:val="0"/>
                <w:kern w:val="2"/>
                <w:sz w:val="21"/>
                <w:szCs w:val="21"/>
              </w:rPr>
              <w:t>10万吨/年丙烯及联产芳烃工程</w:t>
            </w:r>
            <w:r>
              <w:rPr>
                <w:b w:val="0"/>
                <w:bCs/>
                <w:sz w:val="21"/>
              </w:rPr>
              <w:t>包括301罐区9台，302罐区10台，320罐区8台，324球罐区10台储罐，后续建设</w:t>
            </w:r>
            <w:r>
              <w:rPr>
                <w:b w:val="0"/>
                <w:kern w:val="2"/>
                <w:sz w:val="21"/>
                <w:szCs w:val="21"/>
              </w:rPr>
              <w:t>260万吨/年原油预处理装置</w:t>
            </w:r>
            <w:r>
              <w:rPr>
                <w:b w:val="0"/>
                <w:bCs/>
                <w:sz w:val="21"/>
              </w:rPr>
              <w:t>对罐区进行调整，共计增加15个储罐，</w:t>
            </w:r>
            <w:r>
              <w:rPr>
                <w:b w:val="0"/>
                <w:kern w:val="2"/>
                <w:sz w:val="21"/>
                <w:szCs w:val="21"/>
              </w:rPr>
              <w:t>共计11.1×104m</w:t>
            </w:r>
            <w:r>
              <w:rPr>
                <w:b w:val="0"/>
                <w:kern w:val="2"/>
                <w:sz w:val="21"/>
                <w:szCs w:val="21"/>
                <w:vertAlign w:val="superscript"/>
              </w:rPr>
              <w:t>3</w:t>
            </w:r>
            <w:r>
              <w:rPr>
                <w:b w:val="0"/>
                <w:kern w:val="2"/>
                <w:sz w:val="21"/>
                <w:szCs w:val="21"/>
              </w:rPr>
              <w:t>。共计30.8×104m</w:t>
            </w:r>
            <w:r>
              <w:rPr>
                <w:b w:val="0"/>
                <w:kern w:val="2"/>
                <w:sz w:val="21"/>
                <w:szCs w:val="21"/>
                <w:vertAlign w:val="superscript"/>
              </w:rPr>
              <w:t>3</w:t>
            </w:r>
          </w:p>
        </w:tc>
        <w:tc>
          <w:tcPr>
            <w:tcW w:w="867" w:type="dxa"/>
            <w:vAlign w:val="center"/>
          </w:tcPr>
          <w:p>
            <w:pPr>
              <w:pStyle w:val="12"/>
              <w:ind w:firstLine="0" w:firstLineChars="0"/>
              <w:rPr>
                <w:color w:val="FF0000"/>
              </w:rPr>
            </w:pPr>
            <w:r>
              <w:rPr>
                <w:b w:val="0"/>
                <w:kern w:val="2"/>
                <w:sz w:val="21"/>
                <w:szCs w:val="21"/>
              </w:rPr>
              <w:t>不一致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438" w:type="dxa"/>
            <w:vMerge w:val="continue"/>
            <w:vAlign w:val="center"/>
          </w:tcPr>
          <w:p>
            <w:pPr>
              <w:pStyle w:val="13"/>
              <w:spacing w:line="240" w:lineRule="auto"/>
              <w:rPr>
                <w:color w:val="auto"/>
                <w:szCs w:val="21"/>
              </w:rPr>
            </w:pPr>
          </w:p>
        </w:tc>
        <w:tc>
          <w:tcPr>
            <w:tcW w:w="848" w:type="dxa"/>
            <w:vAlign w:val="center"/>
          </w:tcPr>
          <w:p>
            <w:pPr>
              <w:pStyle w:val="13"/>
              <w:spacing w:line="240" w:lineRule="auto"/>
              <w:rPr>
                <w:color w:val="auto"/>
                <w:szCs w:val="21"/>
              </w:rPr>
            </w:pPr>
            <w:r>
              <w:rPr>
                <w:color w:val="auto"/>
                <w:szCs w:val="21"/>
              </w:rPr>
              <w:t>输运</w:t>
            </w:r>
          </w:p>
        </w:tc>
        <w:tc>
          <w:tcPr>
            <w:tcW w:w="2226" w:type="dxa"/>
            <w:vAlign w:val="center"/>
          </w:tcPr>
          <w:p>
            <w:pPr>
              <w:pStyle w:val="13"/>
              <w:spacing w:line="240" w:lineRule="auto"/>
              <w:rPr>
                <w:szCs w:val="21"/>
              </w:rPr>
            </w:pPr>
            <w:r>
              <w:rPr>
                <w:color w:val="auto"/>
                <w:szCs w:val="21"/>
              </w:rPr>
              <w:t>汽车装车栈桥设置成品装车鹤位，连接于装置、罐区、泵房、装车设施之间和界区外主管带，管道采用管架敷设</w:t>
            </w:r>
          </w:p>
        </w:tc>
        <w:tc>
          <w:tcPr>
            <w:tcW w:w="2484" w:type="dxa"/>
            <w:vAlign w:val="center"/>
          </w:tcPr>
          <w:p>
            <w:pPr>
              <w:pStyle w:val="12"/>
              <w:spacing w:line="240" w:lineRule="exact"/>
              <w:ind w:firstLine="0" w:firstLineChars="0"/>
              <w:rPr>
                <w:b w:val="0"/>
                <w:kern w:val="2"/>
                <w:sz w:val="21"/>
                <w:szCs w:val="21"/>
              </w:rPr>
            </w:pPr>
            <w:r>
              <w:rPr>
                <w:b w:val="0"/>
                <w:kern w:val="2"/>
                <w:sz w:val="21"/>
                <w:szCs w:val="21"/>
              </w:rPr>
              <w:t>汽车装车栈桥设置成品装车鹤位，连接于装置、罐区、泵房、装车设施之间和界区外主管带，管道采用管架敷设</w:t>
            </w:r>
          </w:p>
        </w:tc>
        <w:tc>
          <w:tcPr>
            <w:tcW w:w="2037" w:type="dxa"/>
            <w:vAlign w:val="center"/>
          </w:tcPr>
          <w:p>
            <w:pPr>
              <w:pStyle w:val="12"/>
              <w:spacing w:line="240" w:lineRule="exact"/>
              <w:ind w:firstLine="0" w:firstLineChars="0"/>
              <w:rPr>
                <w:color w:val="000000"/>
              </w:rPr>
            </w:pPr>
            <w:r>
              <w:rPr>
                <w:b w:val="0"/>
                <w:kern w:val="2"/>
                <w:sz w:val="21"/>
                <w:szCs w:val="21"/>
              </w:rPr>
              <w:t>汽车装车栈桥设置成品装车鹤位，连接于装置、罐区、泵房、装车设施之间和界区外主管带，管道采用管架敷设</w:t>
            </w:r>
          </w:p>
        </w:tc>
        <w:tc>
          <w:tcPr>
            <w:tcW w:w="867" w:type="dxa"/>
            <w:vAlign w:val="center"/>
          </w:tcPr>
          <w:p>
            <w:pPr>
              <w:pStyle w:val="12"/>
              <w:ind w:firstLine="0" w:firstLineChars="0"/>
              <w:rPr>
                <w:color w:val="000000"/>
              </w:rPr>
            </w:pPr>
            <w:r>
              <w:rPr>
                <w:b w:val="0"/>
                <w:kern w:val="2"/>
                <w:sz w:val="21"/>
                <w:szCs w:val="21"/>
              </w:rPr>
              <w:t>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8" w:type="dxa"/>
            <w:vMerge w:val="restart"/>
            <w:vAlign w:val="center"/>
          </w:tcPr>
          <w:p>
            <w:pPr>
              <w:pStyle w:val="13"/>
              <w:spacing w:line="240" w:lineRule="auto"/>
              <w:rPr>
                <w:color w:val="auto"/>
                <w:szCs w:val="21"/>
              </w:rPr>
            </w:pPr>
            <w:r>
              <w:rPr>
                <w:color w:val="auto"/>
                <w:szCs w:val="21"/>
              </w:rPr>
              <w:t>环保工程</w:t>
            </w:r>
          </w:p>
        </w:tc>
        <w:tc>
          <w:tcPr>
            <w:tcW w:w="848" w:type="dxa"/>
            <w:vAlign w:val="center"/>
          </w:tcPr>
          <w:p>
            <w:pPr>
              <w:pStyle w:val="13"/>
              <w:spacing w:line="240" w:lineRule="auto"/>
              <w:rPr>
                <w:color w:val="auto"/>
                <w:szCs w:val="21"/>
              </w:rPr>
            </w:pPr>
            <w:r>
              <w:rPr>
                <w:color w:val="auto"/>
                <w:szCs w:val="21"/>
              </w:rPr>
              <w:t>污水处理站</w:t>
            </w:r>
          </w:p>
        </w:tc>
        <w:tc>
          <w:tcPr>
            <w:tcW w:w="2226" w:type="dxa"/>
            <w:vAlign w:val="center"/>
          </w:tcPr>
          <w:p>
            <w:pPr>
              <w:pStyle w:val="13"/>
              <w:spacing w:line="240" w:lineRule="auto"/>
              <w:rPr>
                <w:color w:val="auto"/>
                <w:szCs w:val="21"/>
              </w:rPr>
            </w:pPr>
            <w:r>
              <w:rPr>
                <w:color w:val="auto"/>
                <w:szCs w:val="21"/>
              </w:rPr>
              <w:t>污水处理站处理能力为150m</w:t>
            </w:r>
            <w:r>
              <w:rPr>
                <w:color w:val="auto"/>
                <w:szCs w:val="21"/>
                <w:vertAlign w:val="superscript"/>
              </w:rPr>
              <w:t>3</w:t>
            </w:r>
            <w:r>
              <w:rPr>
                <w:color w:val="auto"/>
                <w:szCs w:val="21"/>
              </w:rPr>
              <w:t>/h</w:t>
            </w:r>
          </w:p>
        </w:tc>
        <w:tc>
          <w:tcPr>
            <w:tcW w:w="2484" w:type="dxa"/>
            <w:vAlign w:val="center"/>
          </w:tcPr>
          <w:p>
            <w:pPr>
              <w:pStyle w:val="13"/>
              <w:spacing w:line="240" w:lineRule="auto"/>
              <w:rPr>
                <w:color w:val="auto"/>
                <w:szCs w:val="21"/>
              </w:rPr>
            </w:pPr>
            <w:r>
              <w:rPr>
                <w:color w:val="auto"/>
                <w:szCs w:val="21"/>
              </w:rPr>
              <w:t>污水处理站处理能力为150m</w:t>
            </w:r>
            <w:r>
              <w:rPr>
                <w:color w:val="auto"/>
                <w:szCs w:val="21"/>
                <w:vertAlign w:val="superscript"/>
              </w:rPr>
              <w:t>3</w:t>
            </w:r>
            <w:r>
              <w:rPr>
                <w:color w:val="auto"/>
                <w:szCs w:val="21"/>
              </w:rPr>
              <w:t>/h</w:t>
            </w:r>
          </w:p>
        </w:tc>
        <w:tc>
          <w:tcPr>
            <w:tcW w:w="2037" w:type="dxa"/>
            <w:vAlign w:val="center"/>
          </w:tcPr>
          <w:p>
            <w:pPr>
              <w:pStyle w:val="13"/>
              <w:spacing w:line="240" w:lineRule="auto"/>
              <w:rPr>
                <w:color w:val="auto"/>
                <w:szCs w:val="21"/>
              </w:rPr>
            </w:pPr>
            <w:r>
              <w:rPr>
                <w:color w:val="auto"/>
                <w:szCs w:val="21"/>
              </w:rPr>
              <w:t>污水处理站处理能力为150m</w:t>
            </w:r>
            <w:r>
              <w:rPr>
                <w:color w:val="auto"/>
                <w:szCs w:val="21"/>
                <w:vertAlign w:val="superscript"/>
              </w:rPr>
              <w:t>3</w:t>
            </w:r>
            <w:r>
              <w:rPr>
                <w:color w:val="auto"/>
                <w:szCs w:val="21"/>
              </w:rPr>
              <w:t>/h</w:t>
            </w:r>
          </w:p>
        </w:tc>
        <w:tc>
          <w:tcPr>
            <w:tcW w:w="867" w:type="dxa"/>
            <w:vAlign w:val="center"/>
          </w:tcPr>
          <w:p>
            <w:pPr>
              <w:pStyle w:val="13"/>
              <w:spacing w:line="240" w:lineRule="auto"/>
              <w:rPr>
                <w:szCs w:val="21"/>
              </w:rPr>
            </w:pPr>
            <w:r>
              <w:rPr>
                <w:szCs w:val="21"/>
              </w:rPr>
              <w:t>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38" w:type="dxa"/>
            <w:vMerge w:val="continue"/>
            <w:vAlign w:val="center"/>
          </w:tcPr>
          <w:p>
            <w:pPr>
              <w:pStyle w:val="13"/>
              <w:spacing w:line="240" w:lineRule="auto"/>
              <w:rPr>
                <w:color w:val="auto"/>
                <w:szCs w:val="21"/>
              </w:rPr>
            </w:pPr>
          </w:p>
        </w:tc>
        <w:tc>
          <w:tcPr>
            <w:tcW w:w="848" w:type="dxa"/>
            <w:vAlign w:val="center"/>
          </w:tcPr>
          <w:p>
            <w:pPr>
              <w:pStyle w:val="13"/>
              <w:spacing w:line="240" w:lineRule="auto"/>
              <w:rPr>
                <w:color w:val="auto"/>
                <w:szCs w:val="21"/>
              </w:rPr>
            </w:pPr>
            <w:r>
              <w:rPr>
                <w:color w:val="auto"/>
                <w:szCs w:val="21"/>
              </w:rPr>
              <w:t>再生烟气治理装置</w:t>
            </w:r>
          </w:p>
        </w:tc>
        <w:tc>
          <w:tcPr>
            <w:tcW w:w="2226" w:type="dxa"/>
            <w:vAlign w:val="center"/>
          </w:tcPr>
          <w:p>
            <w:pPr>
              <w:pStyle w:val="13"/>
              <w:spacing w:line="240" w:lineRule="auto"/>
              <w:rPr>
                <w:color w:val="auto"/>
                <w:szCs w:val="21"/>
              </w:rPr>
            </w:pPr>
            <w:r>
              <w:rPr>
                <w:color w:val="auto"/>
                <w:szCs w:val="21"/>
              </w:rPr>
              <w:t>三级除尘系统+EDV湿法脱硫</w:t>
            </w:r>
          </w:p>
        </w:tc>
        <w:tc>
          <w:tcPr>
            <w:tcW w:w="2484" w:type="dxa"/>
            <w:vAlign w:val="center"/>
          </w:tcPr>
          <w:p>
            <w:pPr>
              <w:pStyle w:val="13"/>
              <w:spacing w:line="240" w:lineRule="auto"/>
              <w:rPr>
                <w:color w:val="auto"/>
                <w:szCs w:val="21"/>
              </w:rPr>
            </w:pPr>
            <w:r>
              <w:rPr>
                <w:color w:val="auto"/>
                <w:szCs w:val="21"/>
              </w:rPr>
              <w:t>三级除尘系统+EDV湿法脱硫</w:t>
            </w:r>
          </w:p>
        </w:tc>
        <w:tc>
          <w:tcPr>
            <w:tcW w:w="2037" w:type="dxa"/>
            <w:vAlign w:val="center"/>
          </w:tcPr>
          <w:p>
            <w:pPr>
              <w:pStyle w:val="13"/>
              <w:spacing w:line="240" w:lineRule="auto"/>
              <w:rPr>
                <w:color w:val="auto"/>
                <w:szCs w:val="21"/>
              </w:rPr>
            </w:pPr>
            <w:r>
              <w:rPr>
                <w:color w:val="auto"/>
                <w:szCs w:val="21"/>
              </w:rPr>
              <w:t>三级除尘系统+EDV湿法脱硫</w:t>
            </w:r>
          </w:p>
        </w:tc>
        <w:tc>
          <w:tcPr>
            <w:tcW w:w="867" w:type="dxa"/>
            <w:vAlign w:val="center"/>
          </w:tcPr>
          <w:p>
            <w:pPr>
              <w:pStyle w:val="13"/>
              <w:spacing w:line="240" w:lineRule="auto"/>
              <w:rPr>
                <w:szCs w:val="21"/>
              </w:rPr>
            </w:pPr>
            <w:r>
              <w:rPr>
                <w:szCs w:val="21"/>
              </w:rPr>
              <w:t>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38" w:type="dxa"/>
            <w:vMerge w:val="continue"/>
            <w:vAlign w:val="center"/>
          </w:tcPr>
          <w:p>
            <w:pPr>
              <w:pStyle w:val="13"/>
              <w:spacing w:line="240" w:lineRule="auto"/>
              <w:rPr>
                <w:color w:val="auto"/>
                <w:szCs w:val="21"/>
              </w:rPr>
            </w:pPr>
          </w:p>
        </w:tc>
        <w:tc>
          <w:tcPr>
            <w:tcW w:w="848" w:type="dxa"/>
            <w:vAlign w:val="center"/>
          </w:tcPr>
          <w:p>
            <w:pPr>
              <w:pStyle w:val="13"/>
              <w:spacing w:line="240" w:lineRule="auto"/>
              <w:rPr>
                <w:color w:val="auto"/>
                <w:szCs w:val="21"/>
              </w:rPr>
            </w:pPr>
            <w:r>
              <w:rPr>
                <w:color w:val="auto"/>
                <w:szCs w:val="21"/>
              </w:rPr>
              <w:t>硫磺回收装置</w:t>
            </w:r>
          </w:p>
        </w:tc>
        <w:tc>
          <w:tcPr>
            <w:tcW w:w="2226" w:type="dxa"/>
            <w:vAlign w:val="center"/>
          </w:tcPr>
          <w:p>
            <w:pPr>
              <w:pStyle w:val="13"/>
              <w:spacing w:line="240" w:lineRule="auto"/>
              <w:rPr>
                <w:color w:val="auto"/>
                <w:szCs w:val="21"/>
              </w:rPr>
            </w:pPr>
            <w:r>
              <w:rPr>
                <w:color w:val="auto"/>
                <w:szCs w:val="21"/>
              </w:rPr>
              <w:t>设计能力为1万吨/a</w:t>
            </w:r>
          </w:p>
        </w:tc>
        <w:tc>
          <w:tcPr>
            <w:tcW w:w="2484" w:type="dxa"/>
            <w:vAlign w:val="center"/>
          </w:tcPr>
          <w:p>
            <w:pPr>
              <w:pStyle w:val="13"/>
              <w:spacing w:line="240" w:lineRule="auto"/>
              <w:rPr>
                <w:color w:val="auto"/>
                <w:szCs w:val="21"/>
              </w:rPr>
            </w:pPr>
            <w:r>
              <w:rPr>
                <w:color w:val="auto"/>
                <w:szCs w:val="21"/>
              </w:rPr>
              <w:t>设计能力为1万吨/a</w:t>
            </w:r>
          </w:p>
        </w:tc>
        <w:tc>
          <w:tcPr>
            <w:tcW w:w="2037" w:type="dxa"/>
            <w:vAlign w:val="center"/>
          </w:tcPr>
          <w:p>
            <w:pPr>
              <w:pStyle w:val="13"/>
              <w:spacing w:line="240" w:lineRule="auto"/>
              <w:rPr>
                <w:color w:val="auto"/>
                <w:szCs w:val="21"/>
              </w:rPr>
            </w:pPr>
            <w:r>
              <w:rPr>
                <w:szCs w:val="21"/>
              </w:rPr>
              <w:t>建设规模能力为1万吨/a</w:t>
            </w:r>
          </w:p>
        </w:tc>
        <w:tc>
          <w:tcPr>
            <w:tcW w:w="867" w:type="dxa"/>
            <w:vAlign w:val="center"/>
          </w:tcPr>
          <w:p>
            <w:pPr>
              <w:pStyle w:val="13"/>
              <w:spacing w:line="240" w:lineRule="auto"/>
              <w:rPr>
                <w:szCs w:val="21"/>
              </w:rPr>
            </w:pPr>
            <w:r>
              <w:rPr>
                <w:szCs w:val="21"/>
              </w:rPr>
              <w:t>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38" w:type="dxa"/>
            <w:vMerge w:val="continue"/>
            <w:vAlign w:val="center"/>
          </w:tcPr>
          <w:p>
            <w:pPr>
              <w:pStyle w:val="13"/>
              <w:spacing w:line="240" w:lineRule="auto"/>
              <w:rPr>
                <w:color w:val="auto"/>
                <w:szCs w:val="21"/>
              </w:rPr>
            </w:pPr>
          </w:p>
        </w:tc>
        <w:tc>
          <w:tcPr>
            <w:tcW w:w="848" w:type="dxa"/>
            <w:vAlign w:val="center"/>
          </w:tcPr>
          <w:p>
            <w:pPr>
              <w:pStyle w:val="13"/>
              <w:spacing w:line="240" w:lineRule="auto"/>
              <w:rPr>
                <w:color w:val="auto"/>
                <w:szCs w:val="21"/>
              </w:rPr>
            </w:pPr>
            <w:r>
              <w:rPr>
                <w:color w:val="auto"/>
                <w:szCs w:val="21"/>
              </w:rPr>
              <w:t>酸性水汽提装置</w:t>
            </w:r>
          </w:p>
        </w:tc>
        <w:tc>
          <w:tcPr>
            <w:tcW w:w="2226" w:type="dxa"/>
            <w:vAlign w:val="center"/>
          </w:tcPr>
          <w:p>
            <w:pPr>
              <w:pStyle w:val="13"/>
              <w:spacing w:line="240" w:lineRule="auto"/>
              <w:rPr>
                <w:color w:val="auto"/>
                <w:szCs w:val="21"/>
              </w:rPr>
            </w:pPr>
            <w:r>
              <w:rPr>
                <w:color w:val="auto"/>
                <w:szCs w:val="21"/>
              </w:rPr>
              <w:t>设计能力为50m</w:t>
            </w:r>
            <w:r>
              <w:rPr>
                <w:color w:val="auto"/>
                <w:szCs w:val="21"/>
                <w:vertAlign w:val="superscript"/>
              </w:rPr>
              <w:t>3</w:t>
            </w:r>
            <w:r>
              <w:rPr>
                <w:color w:val="auto"/>
                <w:szCs w:val="21"/>
              </w:rPr>
              <w:t>/h</w:t>
            </w:r>
          </w:p>
        </w:tc>
        <w:tc>
          <w:tcPr>
            <w:tcW w:w="2484" w:type="dxa"/>
            <w:vAlign w:val="center"/>
          </w:tcPr>
          <w:p>
            <w:pPr>
              <w:pStyle w:val="13"/>
              <w:spacing w:line="240" w:lineRule="auto"/>
              <w:rPr>
                <w:color w:val="auto"/>
                <w:szCs w:val="21"/>
              </w:rPr>
            </w:pPr>
            <w:r>
              <w:rPr>
                <w:color w:val="auto"/>
                <w:szCs w:val="21"/>
              </w:rPr>
              <w:t>设计能力为50m</w:t>
            </w:r>
            <w:r>
              <w:rPr>
                <w:color w:val="auto"/>
                <w:szCs w:val="21"/>
                <w:vertAlign w:val="superscript"/>
              </w:rPr>
              <w:t>3</w:t>
            </w:r>
            <w:r>
              <w:rPr>
                <w:color w:val="auto"/>
                <w:szCs w:val="21"/>
              </w:rPr>
              <w:t>/h</w:t>
            </w:r>
          </w:p>
        </w:tc>
        <w:tc>
          <w:tcPr>
            <w:tcW w:w="2037" w:type="dxa"/>
            <w:vAlign w:val="center"/>
          </w:tcPr>
          <w:p>
            <w:pPr>
              <w:pStyle w:val="13"/>
              <w:spacing w:line="240" w:lineRule="auto"/>
              <w:rPr>
                <w:color w:val="auto"/>
                <w:szCs w:val="21"/>
              </w:rPr>
            </w:pPr>
            <w:r>
              <w:rPr>
                <w:szCs w:val="21"/>
              </w:rPr>
              <w:t>建设规模能力为50m</w:t>
            </w:r>
            <w:r>
              <w:rPr>
                <w:szCs w:val="21"/>
                <w:vertAlign w:val="superscript"/>
              </w:rPr>
              <w:t>3</w:t>
            </w:r>
            <w:r>
              <w:rPr>
                <w:szCs w:val="21"/>
              </w:rPr>
              <w:t>/h</w:t>
            </w:r>
          </w:p>
        </w:tc>
        <w:tc>
          <w:tcPr>
            <w:tcW w:w="867" w:type="dxa"/>
            <w:vAlign w:val="center"/>
          </w:tcPr>
          <w:p>
            <w:pPr>
              <w:pStyle w:val="13"/>
              <w:spacing w:line="240" w:lineRule="auto"/>
              <w:rPr>
                <w:szCs w:val="21"/>
              </w:rPr>
            </w:pPr>
            <w:r>
              <w:rPr>
                <w:szCs w:val="21"/>
              </w:rPr>
              <w:t>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38" w:type="dxa"/>
            <w:vMerge w:val="continue"/>
            <w:vAlign w:val="center"/>
          </w:tcPr>
          <w:p>
            <w:pPr>
              <w:pStyle w:val="13"/>
              <w:spacing w:line="240" w:lineRule="auto"/>
              <w:rPr>
                <w:color w:val="auto"/>
                <w:szCs w:val="21"/>
              </w:rPr>
            </w:pPr>
          </w:p>
        </w:tc>
        <w:tc>
          <w:tcPr>
            <w:tcW w:w="848" w:type="dxa"/>
            <w:vAlign w:val="center"/>
          </w:tcPr>
          <w:p>
            <w:pPr>
              <w:pStyle w:val="13"/>
              <w:spacing w:line="240" w:lineRule="auto"/>
              <w:rPr>
                <w:color w:val="auto"/>
                <w:szCs w:val="21"/>
              </w:rPr>
            </w:pPr>
            <w:r>
              <w:rPr>
                <w:color w:val="auto"/>
                <w:szCs w:val="21"/>
              </w:rPr>
              <w:t>溶剂再生装置</w:t>
            </w:r>
          </w:p>
        </w:tc>
        <w:tc>
          <w:tcPr>
            <w:tcW w:w="2226" w:type="dxa"/>
            <w:vAlign w:val="center"/>
          </w:tcPr>
          <w:p>
            <w:pPr>
              <w:pStyle w:val="13"/>
              <w:spacing w:line="240" w:lineRule="auto"/>
              <w:rPr>
                <w:color w:val="auto"/>
                <w:szCs w:val="21"/>
              </w:rPr>
            </w:pPr>
            <w:r>
              <w:rPr>
                <w:color w:val="auto"/>
                <w:szCs w:val="21"/>
              </w:rPr>
              <w:t>设计能力为50t/h</w:t>
            </w:r>
          </w:p>
        </w:tc>
        <w:tc>
          <w:tcPr>
            <w:tcW w:w="2484" w:type="dxa"/>
            <w:vAlign w:val="center"/>
          </w:tcPr>
          <w:p>
            <w:pPr>
              <w:pStyle w:val="13"/>
              <w:spacing w:line="240" w:lineRule="auto"/>
              <w:rPr>
                <w:color w:val="auto"/>
                <w:szCs w:val="21"/>
              </w:rPr>
            </w:pPr>
            <w:r>
              <w:rPr>
                <w:color w:val="auto"/>
                <w:szCs w:val="21"/>
              </w:rPr>
              <w:t>设计能力为80t/h</w:t>
            </w:r>
          </w:p>
        </w:tc>
        <w:tc>
          <w:tcPr>
            <w:tcW w:w="2037" w:type="dxa"/>
            <w:vAlign w:val="center"/>
          </w:tcPr>
          <w:p>
            <w:pPr>
              <w:pStyle w:val="13"/>
              <w:spacing w:line="240" w:lineRule="auto"/>
              <w:rPr>
                <w:color w:val="auto"/>
                <w:szCs w:val="21"/>
              </w:rPr>
            </w:pPr>
            <w:r>
              <w:rPr>
                <w:color w:val="auto"/>
                <w:szCs w:val="21"/>
              </w:rPr>
              <w:t>能力为80t/h</w:t>
            </w:r>
          </w:p>
        </w:tc>
        <w:tc>
          <w:tcPr>
            <w:tcW w:w="867" w:type="dxa"/>
            <w:vAlign w:val="center"/>
          </w:tcPr>
          <w:p>
            <w:pPr>
              <w:pStyle w:val="13"/>
              <w:spacing w:line="240" w:lineRule="auto"/>
            </w:pPr>
            <w:r>
              <w:rPr>
                <w:color w:val="auto"/>
                <w:szCs w:val="21"/>
              </w:rPr>
              <w:t>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8" w:type="dxa"/>
            <w:vMerge w:val="continue"/>
            <w:vAlign w:val="center"/>
          </w:tcPr>
          <w:p>
            <w:pPr>
              <w:pStyle w:val="13"/>
              <w:spacing w:line="240" w:lineRule="auto"/>
              <w:rPr>
                <w:color w:val="auto"/>
                <w:szCs w:val="21"/>
              </w:rPr>
            </w:pPr>
          </w:p>
        </w:tc>
        <w:tc>
          <w:tcPr>
            <w:tcW w:w="848" w:type="dxa"/>
            <w:vAlign w:val="center"/>
          </w:tcPr>
          <w:p>
            <w:pPr>
              <w:pStyle w:val="13"/>
              <w:spacing w:line="240" w:lineRule="auto"/>
              <w:rPr>
                <w:color w:val="auto"/>
                <w:szCs w:val="21"/>
              </w:rPr>
            </w:pPr>
            <w:r>
              <w:rPr>
                <w:color w:val="auto"/>
                <w:szCs w:val="21"/>
              </w:rPr>
              <w:t>危废焚烧炉</w:t>
            </w:r>
          </w:p>
        </w:tc>
        <w:tc>
          <w:tcPr>
            <w:tcW w:w="2226" w:type="dxa"/>
            <w:vAlign w:val="center"/>
          </w:tcPr>
          <w:p>
            <w:pPr>
              <w:pStyle w:val="13"/>
              <w:spacing w:line="240" w:lineRule="auto"/>
              <w:rPr>
                <w:color w:val="auto"/>
                <w:szCs w:val="21"/>
              </w:rPr>
            </w:pPr>
            <w:r>
              <w:rPr>
                <w:color w:val="auto"/>
                <w:szCs w:val="21"/>
              </w:rPr>
              <w:t>焚烧炉处理规模设计为200kg/h</w:t>
            </w:r>
          </w:p>
        </w:tc>
        <w:tc>
          <w:tcPr>
            <w:tcW w:w="2484" w:type="dxa"/>
            <w:vAlign w:val="center"/>
          </w:tcPr>
          <w:p>
            <w:pPr>
              <w:pStyle w:val="13"/>
              <w:spacing w:line="240" w:lineRule="auto"/>
              <w:rPr>
                <w:color w:val="auto"/>
                <w:szCs w:val="21"/>
              </w:rPr>
            </w:pPr>
            <w:r>
              <w:rPr>
                <w:color w:val="auto"/>
                <w:szCs w:val="21"/>
              </w:rPr>
              <w:t>/</w:t>
            </w:r>
          </w:p>
        </w:tc>
        <w:tc>
          <w:tcPr>
            <w:tcW w:w="2037" w:type="dxa"/>
            <w:vAlign w:val="center"/>
          </w:tcPr>
          <w:p>
            <w:pPr>
              <w:pStyle w:val="13"/>
              <w:spacing w:line="240" w:lineRule="auto"/>
              <w:rPr>
                <w:color w:val="auto"/>
                <w:szCs w:val="21"/>
              </w:rPr>
            </w:pPr>
            <w:r>
              <w:rPr>
                <w:color w:val="auto"/>
                <w:szCs w:val="21"/>
              </w:rPr>
              <w:t>未建设</w:t>
            </w:r>
          </w:p>
        </w:tc>
        <w:tc>
          <w:tcPr>
            <w:tcW w:w="867" w:type="dxa"/>
            <w:vAlign w:val="center"/>
          </w:tcPr>
          <w:p>
            <w:pPr>
              <w:pStyle w:val="13"/>
              <w:spacing w:line="240" w:lineRule="auto"/>
            </w:pPr>
            <w:r>
              <w:rPr>
                <w:color w:val="auto"/>
                <w:szCs w:val="21"/>
              </w:rPr>
              <w:t>不一致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438" w:type="dxa"/>
            <w:vAlign w:val="center"/>
          </w:tcPr>
          <w:p>
            <w:pPr>
              <w:pStyle w:val="13"/>
              <w:spacing w:line="240" w:lineRule="auto"/>
              <w:rPr>
                <w:color w:val="auto"/>
                <w:szCs w:val="21"/>
              </w:rPr>
            </w:pPr>
            <w:r>
              <w:rPr>
                <w:color w:val="auto"/>
                <w:szCs w:val="21"/>
              </w:rPr>
              <w:t>风险防范</w:t>
            </w:r>
          </w:p>
        </w:tc>
        <w:tc>
          <w:tcPr>
            <w:tcW w:w="848" w:type="dxa"/>
            <w:vAlign w:val="center"/>
          </w:tcPr>
          <w:p>
            <w:pPr>
              <w:pStyle w:val="13"/>
              <w:spacing w:line="240" w:lineRule="auto"/>
              <w:rPr>
                <w:color w:val="auto"/>
                <w:szCs w:val="21"/>
              </w:rPr>
            </w:pPr>
            <w:r>
              <w:rPr>
                <w:color w:val="auto"/>
                <w:szCs w:val="21"/>
              </w:rPr>
              <w:t>事故储池及暂存间</w:t>
            </w:r>
          </w:p>
        </w:tc>
        <w:tc>
          <w:tcPr>
            <w:tcW w:w="2226" w:type="dxa"/>
            <w:vAlign w:val="center"/>
          </w:tcPr>
          <w:p>
            <w:pPr>
              <w:pStyle w:val="13"/>
              <w:spacing w:line="240" w:lineRule="auto"/>
              <w:rPr>
                <w:color w:val="auto"/>
                <w:szCs w:val="21"/>
              </w:rPr>
            </w:pPr>
            <w:r>
              <w:rPr>
                <w:color w:val="auto"/>
                <w:szCs w:val="21"/>
              </w:rPr>
              <w:t>设置一座</w:t>
            </w:r>
            <w:r>
              <w:rPr>
                <w:rFonts w:hint="eastAsia"/>
                <w:color w:val="auto"/>
                <w:szCs w:val="21"/>
              </w:rPr>
              <w:t>不小于</w:t>
            </w:r>
            <w:r>
              <w:rPr>
                <w:color w:val="auto"/>
                <w:szCs w:val="21"/>
              </w:rPr>
              <w:t>10000m</w:t>
            </w:r>
            <w:r>
              <w:rPr>
                <w:color w:val="auto"/>
                <w:szCs w:val="21"/>
                <w:vertAlign w:val="superscript"/>
              </w:rPr>
              <w:t>3</w:t>
            </w:r>
            <w:r>
              <w:rPr>
                <w:color w:val="auto"/>
                <w:szCs w:val="21"/>
              </w:rPr>
              <w:t>事故池，及360m</w:t>
            </w:r>
            <w:r>
              <w:rPr>
                <w:color w:val="auto"/>
                <w:szCs w:val="21"/>
                <w:vertAlign w:val="superscript"/>
              </w:rPr>
              <w:t>2</w:t>
            </w:r>
            <w:r>
              <w:rPr>
                <w:color w:val="auto"/>
                <w:szCs w:val="21"/>
              </w:rPr>
              <w:t>暂存间</w:t>
            </w:r>
          </w:p>
        </w:tc>
        <w:tc>
          <w:tcPr>
            <w:tcW w:w="2484" w:type="dxa"/>
            <w:vAlign w:val="center"/>
          </w:tcPr>
          <w:p>
            <w:pPr>
              <w:pStyle w:val="13"/>
              <w:spacing w:line="240" w:lineRule="auto"/>
              <w:rPr>
                <w:color w:val="auto"/>
                <w:szCs w:val="21"/>
              </w:rPr>
            </w:pPr>
            <w:r>
              <w:rPr>
                <w:color w:val="auto"/>
                <w:szCs w:val="21"/>
              </w:rPr>
              <w:t>设置一座10000m</w:t>
            </w:r>
            <w:r>
              <w:rPr>
                <w:color w:val="auto"/>
                <w:szCs w:val="21"/>
                <w:vertAlign w:val="superscript"/>
              </w:rPr>
              <w:t>3</w:t>
            </w:r>
            <w:r>
              <w:rPr>
                <w:color w:val="auto"/>
                <w:szCs w:val="21"/>
              </w:rPr>
              <w:t>事故池，及360m</w:t>
            </w:r>
            <w:r>
              <w:rPr>
                <w:color w:val="auto"/>
                <w:szCs w:val="21"/>
                <w:vertAlign w:val="superscript"/>
              </w:rPr>
              <w:t>2</w:t>
            </w:r>
            <w:r>
              <w:rPr>
                <w:color w:val="auto"/>
                <w:szCs w:val="21"/>
              </w:rPr>
              <w:t>暂存间</w:t>
            </w:r>
          </w:p>
        </w:tc>
        <w:tc>
          <w:tcPr>
            <w:tcW w:w="2037" w:type="dxa"/>
            <w:vAlign w:val="center"/>
          </w:tcPr>
          <w:p>
            <w:pPr>
              <w:pStyle w:val="13"/>
              <w:spacing w:line="240" w:lineRule="auto"/>
              <w:rPr>
                <w:color w:val="auto"/>
                <w:szCs w:val="21"/>
              </w:rPr>
            </w:pPr>
            <w:r>
              <w:rPr>
                <w:color w:val="auto"/>
                <w:szCs w:val="21"/>
              </w:rPr>
              <w:t>设置一座11340m</w:t>
            </w:r>
            <w:r>
              <w:rPr>
                <w:color w:val="auto"/>
                <w:szCs w:val="21"/>
                <w:vertAlign w:val="superscript"/>
              </w:rPr>
              <w:t>3</w:t>
            </w:r>
            <w:r>
              <w:rPr>
                <w:color w:val="auto"/>
                <w:szCs w:val="21"/>
              </w:rPr>
              <w:t>事故池，及3</w:t>
            </w:r>
            <w:r>
              <w:rPr>
                <w:rFonts w:hint="eastAsia"/>
                <w:color w:val="auto"/>
                <w:szCs w:val="21"/>
              </w:rPr>
              <w:t>6</w:t>
            </w:r>
            <w:r>
              <w:rPr>
                <w:color w:val="auto"/>
                <w:szCs w:val="21"/>
              </w:rPr>
              <w:t>0m</w:t>
            </w:r>
            <w:r>
              <w:rPr>
                <w:color w:val="auto"/>
                <w:szCs w:val="21"/>
                <w:vertAlign w:val="superscript"/>
              </w:rPr>
              <w:t>2</w:t>
            </w:r>
            <w:r>
              <w:rPr>
                <w:rFonts w:hint="eastAsia"/>
                <w:color w:val="auto"/>
                <w:szCs w:val="21"/>
              </w:rPr>
              <w:t>危废</w:t>
            </w:r>
            <w:r>
              <w:rPr>
                <w:color w:val="auto"/>
                <w:szCs w:val="21"/>
              </w:rPr>
              <w:t>暂存间</w:t>
            </w:r>
          </w:p>
        </w:tc>
        <w:tc>
          <w:tcPr>
            <w:tcW w:w="867" w:type="dxa"/>
            <w:vAlign w:val="center"/>
          </w:tcPr>
          <w:p>
            <w:pPr>
              <w:pStyle w:val="13"/>
              <w:spacing w:line="240" w:lineRule="auto"/>
            </w:pPr>
            <w:r>
              <w:rPr>
                <w:color w:val="auto"/>
                <w:szCs w:val="21"/>
              </w:rPr>
              <w:t>一致</w:t>
            </w:r>
          </w:p>
        </w:tc>
      </w:tr>
    </w:tbl>
    <w:p>
      <w:pPr>
        <w:pStyle w:val="3"/>
      </w:pPr>
      <w:r>
        <w:t>3.3  生产工艺</w:t>
      </w:r>
    </w:p>
    <w:p>
      <w:pPr>
        <w:pStyle w:val="4"/>
      </w:pPr>
      <w:bookmarkStart w:id="0" w:name="_Toc491876851"/>
      <w:bookmarkStart w:id="1" w:name="_Toc492365397"/>
      <w:bookmarkStart w:id="2" w:name="_Toc2133"/>
      <w:bookmarkStart w:id="3" w:name="_Toc492285537"/>
      <w:bookmarkStart w:id="4" w:name="_Toc10768"/>
      <w:bookmarkStart w:id="5" w:name="_Toc497739325"/>
      <w:bookmarkStart w:id="6" w:name="_Toc492371059"/>
      <w:bookmarkStart w:id="7" w:name="_Toc11783"/>
      <w:bookmarkStart w:id="8" w:name="_Toc490656316"/>
      <w:bookmarkStart w:id="9" w:name="_Toc5323"/>
      <w:bookmarkStart w:id="10" w:name="_Toc1868"/>
      <w:r>
        <w:rPr>
          <w:rFonts w:hint="eastAsia"/>
          <w:lang w:val="en-US" w:eastAsia="zh-CN"/>
        </w:rPr>
        <w:t>3.3</w:t>
      </w:r>
      <w:r>
        <w:t>.1工艺流程简述</w:t>
      </w:r>
      <w:bookmarkEnd w:id="0"/>
      <w:bookmarkEnd w:id="1"/>
      <w:bookmarkEnd w:id="2"/>
      <w:bookmarkEnd w:id="3"/>
      <w:bookmarkEnd w:id="4"/>
      <w:bookmarkEnd w:id="5"/>
      <w:bookmarkEnd w:id="6"/>
      <w:bookmarkEnd w:id="7"/>
      <w:bookmarkEnd w:id="8"/>
      <w:bookmarkEnd w:id="9"/>
      <w:bookmarkEnd w:id="1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1、干气制氢装置工艺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根据该项目的用氢情况，设置干气制氢装置，供应全厂用氢气。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（1）原料气压缩、预热系统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自装置外来脱硫干气先经过原料气分液罐，原料气分液罐为保护装置，基本无液体产生，再经过滤器除去气体中的杂质，进入原料</w:t>
      </w:r>
      <w:bookmarkStart w:id="38" w:name="_GoBack"/>
      <w:bookmarkEnd w:id="38"/>
      <w:r>
        <w:rPr>
          <w:sz w:val="24"/>
          <w:szCs w:val="24"/>
        </w:rPr>
        <w:t>气压缩机升压至3.3MPaG。升压后的原料气送至原料预热炉加热至360℃进入原料预处理系统加氢、脱硫。原料预热炉的燃料为燃料气。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（2）原料预处理系统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加热后的原料气进入一段加氢反应器进行烯烃加氢反应，反应热由反应管外的锅炉水吸收并产生3.8MPa中压饱和蒸汽。由一段加氢反应器出来的原料气，再进入二段加氢反应器，对尚未反应的烯烃继续进行加氢反应，同时将有机硫转化为无机硫，将有机氯转化为无机氯。加氢后的原料气进入一段脱硫反应器和二段脱硫反应器脱除氯和硫化氢。在脱氯段脱除原料中的氯，在脱硫段氧化锌与硫化氢发生脱硫反应。精制后的原料气中硫含量小于0.2ppm、烯烃含量小于1%（V）、氯含量小于0.2ppm，然后进入转化系统。一段脱硫反应器和二段脱硫反应器并联操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（3）转化系统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精制后的原料气在进入转化炉之前，按水碳比6~7（环评水碳比为3~4)，水碳比高不容易结晶，有利于保护催化剂）与3.5MPaG中压过热蒸汽混合，再经转化炉对流段（原料预热段）预热至500℃，由上集合管进入转化炉辐射段。转化炉管内装有转化催化剂，在催化剂的作用下，原料气与水蒸汽发生转化反应。整个反应过程表现为强吸热性质，反应所需的热量由设在转化炉顶部的气体燃料烧嘴提供，其主要燃料是自产变压吸附尾气，不足部分补充工厂燃料气。转化炉炉管出口残余甲烷含量在6%(V)以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出转化炉的780℃（环评温度是820℃，现在使用780℃耗能节约，同时有利于保护催化剂）高温转化气经转化气蒸汽发生器发生中压蒸汽后，温度降至360℃，进入中温变换系统。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干气制氢装置转化系统发生烃类水蒸汽转化反应，转化炉管中是过热水蒸气和干气反应，主要反应有：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lang w:val="pt-BR"/>
        </w:rPr>
      </w:pPr>
      <w:r>
        <w:rPr>
          <w:sz w:val="24"/>
          <w:szCs w:val="24"/>
          <w:lang w:val="pt-BR"/>
        </w:rPr>
        <w:t>① C</w:t>
      </w:r>
      <w:r>
        <w:rPr>
          <w:sz w:val="24"/>
          <w:szCs w:val="24"/>
          <w:vertAlign w:val="subscript"/>
          <w:lang w:val="pt-BR"/>
        </w:rPr>
        <w:t>n</w:t>
      </w:r>
      <w:r>
        <w:rPr>
          <w:sz w:val="24"/>
          <w:szCs w:val="24"/>
          <w:lang w:val="pt-BR"/>
        </w:rPr>
        <w:t>H</w:t>
      </w:r>
      <w:r>
        <w:rPr>
          <w:sz w:val="24"/>
          <w:szCs w:val="24"/>
          <w:vertAlign w:val="subscript"/>
          <w:lang w:val="pt-BR"/>
        </w:rPr>
        <w:t>m</w:t>
      </w:r>
      <w:r>
        <w:rPr>
          <w:sz w:val="24"/>
          <w:szCs w:val="24"/>
          <w:lang w:val="pt-BR"/>
        </w:rPr>
        <w:t>+nH</w:t>
      </w:r>
      <w:r>
        <w:rPr>
          <w:sz w:val="24"/>
          <w:szCs w:val="24"/>
          <w:vertAlign w:val="subscript"/>
          <w:lang w:val="pt-BR"/>
        </w:rPr>
        <w:t>2</w:t>
      </w:r>
      <w:r>
        <w:rPr>
          <w:sz w:val="24"/>
          <w:szCs w:val="24"/>
          <w:lang w:val="pt-BR"/>
        </w:rPr>
        <w:t>O =nCO+(n+m/2)H</w:t>
      </w:r>
      <w:r>
        <w:rPr>
          <w:sz w:val="24"/>
          <w:szCs w:val="24"/>
          <w:vertAlign w:val="subscript"/>
          <w:lang w:val="pt-BR"/>
        </w:rPr>
        <w:t>2</w:t>
      </w:r>
      <w:r>
        <w:rPr>
          <w:sz w:val="24"/>
          <w:szCs w:val="24"/>
          <w:lang w:val="pt-BR"/>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lang w:val="pt-BR"/>
        </w:rPr>
      </w:pPr>
      <w:r>
        <w:rPr>
          <w:sz w:val="24"/>
          <w:szCs w:val="24"/>
          <w:lang w:val="pt-BR"/>
        </w:rPr>
        <w:t>② CO+3H</w:t>
      </w:r>
      <w:r>
        <w:rPr>
          <w:sz w:val="24"/>
          <w:szCs w:val="24"/>
          <w:vertAlign w:val="subscript"/>
          <w:lang w:val="pt-BR"/>
        </w:rPr>
        <w:t>2</w:t>
      </w:r>
      <w:r>
        <w:rPr>
          <w:sz w:val="24"/>
          <w:szCs w:val="24"/>
          <w:lang w:val="pt-BR"/>
        </w:rPr>
        <w:t>=CH</w:t>
      </w:r>
      <w:r>
        <w:rPr>
          <w:sz w:val="24"/>
          <w:szCs w:val="24"/>
          <w:vertAlign w:val="subscript"/>
          <w:lang w:val="pt-BR"/>
        </w:rPr>
        <w:t>4</w:t>
      </w:r>
      <w:r>
        <w:rPr>
          <w:sz w:val="24"/>
          <w:szCs w:val="24"/>
          <w:lang w:val="pt-BR"/>
        </w:rPr>
        <w:t>+H</w:t>
      </w:r>
      <w:r>
        <w:rPr>
          <w:sz w:val="24"/>
          <w:szCs w:val="24"/>
          <w:vertAlign w:val="subscript"/>
          <w:lang w:val="pt-BR"/>
        </w:rPr>
        <w:t>2</w:t>
      </w:r>
      <w:r>
        <w:rPr>
          <w:sz w:val="24"/>
          <w:szCs w:val="24"/>
          <w:lang w:val="pt-BR"/>
        </w:rPr>
        <w:t>O</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lang w:val="pt-BR"/>
        </w:rPr>
      </w:pPr>
      <w:r>
        <w:rPr>
          <w:sz w:val="24"/>
          <w:szCs w:val="24"/>
          <w:lang w:val="pt-BR"/>
        </w:rPr>
        <w:t>③ CO+H</w:t>
      </w:r>
      <w:r>
        <w:rPr>
          <w:sz w:val="24"/>
          <w:szCs w:val="24"/>
          <w:vertAlign w:val="subscript"/>
          <w:lang w:val="pt-BR"/>
        </w:rPr>
        <w:t>2</w:t>
      </w:r>
      <w:r>
        <w:rPr>
          <w:sz w:val="24"/>
          <w:szCs w:val="24"/>
          <w:lang w:val="pt-BR"/>
        </w:rPr>
        <w:t>O=CO</w:t>
      </w:r>
      <w:r>
        <w:rPr>
          <w:sz w:val="24"/>
          <w:szCs w:val="24"/>
          <w:vertAlign w:val="subscript"/>
          <w:lang w:val="pt-BR"/>
        </w:rPr>
        <w:t>2</w:t>
      </w:r>
      <w:r>
        <w:rPr>
          <w:sz w:val="24"/>
          <w:szCs w:val="24"/>
          <w:lang w:val="pt-BR"/>
        </w:rPr>
        <w:t>+H</w:t>
      </w:r>
      <w:r>
        <w:rPr>
          <w:sz w:val="24"/>
          <w:szCs w:val="24"/>
          <w:vertAlign w:val="subscript"/>
          <w:lang w:val="pt-BR"/>
        </w:rPr>
        <w:t>2</w:t>
      </w:r>
      <w:r>
        <w:rPr>
          <w:sz w:val="24"/>
          <w:szCs w:val="24"/>
          <w:lang w:val="pt-BR"/>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除上述反应外，还存在高级烃裂解生成低分子烃的反应等次要反应。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（4）中温变换系统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由转化气蒸汽发生器来的 360℃转化气进入中温变换反应器，在催化剂的作用下发生变换反应，将变换气中CO含量降至3%(V)左右。变换后411℃的中变气依次经锅炉给水预热器预热锅炉给水、除盐水预热器预热除盐水，回收大部分的余热后，再经中变气空冷器、中变气水冷却器冷却到40℃。中变气在冷却过程中依次经过中变气第一分水罐、中变气第二分水罐、中变气第三分水罐和中变气第四分水罐分水后进入PSA氢提纯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（5）PSA氢提纯系统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来自中温变换系统的中变气，从底部进入正处于吸附工况的提氢塔（始终有2台），在其中多种吸附剂的依次选择吸附下，一次性除去氢组分以外的所有杂质，从而制得浓度大于99.9%(V)的产品氢气。产品氢气经压力调节系统稳压后送至全厂氢气管网。产品氢气出界区压力约为2.2MPaG，温度为40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从提氢塔再生阶段释放出来的脱附气经过缓冲罐稳定压力（约0.03MPaG)及组成后，送至转化炉作低压燃料气。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（6）工艺冷凝水回收系统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在转化炉前配入的工艺蒸汽大部分参与转化、变换反应生成了H</w:t>
      </w:r>
      <w:r>
        <w:rPr>
          <w:sz w:val="24"/>
          <w:szCs w:val="24"/>
          <w:vertAlign w:val="subscript"/>
        </w:rPr>
        <w:t>2</w:t>
      </w:r>
      <w:r>
        <w:rPr>
          <w:sz w:val="24"/>
          <w:szCs w:val="24"/>
        </w:rPr>
        <w:t>、CO、CO</w:t>
      </w:r>
      <w:r>
        <w:rPr>
          <w:sz w:val="24"/>
          <w:szCs w:val="24"/>
          <w:vertAlign w:val="subscript"/>
        </w:rPr>
        <w:t>2</w:t>
      </w:r>
      <w:r>
        <w:rPr>
          <w:sz w:val="24"/>
          <w:szCs w:val="24"/>
        </w:rPr>
        <w:t>，剩余部分则在中变气冷却过程中被冷凝。冷凝水分别由中变气第一分水罐、中变气第二分水罐、中变气第三分水罐和中变气第四分水罐底部分离出来混合送入酸性水汽提塔顶部，用1.0MPaG蒸汽作热源，将冷凝水中的CO</w:t>
      </w:r>
      <w:r>
        <w:rPr>
          <w:sz w:val="24"/>
          <w:szCs w:val="24"/>
          <w:vertAlign w:val="subscript"/>
        </w:rPr>
        <w:t>2</w:t>
      </w:r>
      <w:r>
        <w:rPr>
          <w:sz w:val="24"/>
          <w:szCs w:val="24"/>
        </w:rPr>
        <w:t>汽提出去，塔底净化水经酸性水汽提塔底泵升压后与装置外来的除盐水(经除盐水预热器加热至104℃)一起进入除氧器除氧，除氧后作为装置用水回收利用。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（7）热回收及产汽系统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① 除盐水除氧系统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自装置外来的除盐水与中变气在除盐水预热器中换热至104℃左右，然后与酸性水汽提塔底泵来的102℃净化水混合一并进入除氧器中除氧。除氧水大部分经锅炉给水泵加压后与中变气在锅炉给水预热器中换热至250℃，送至中压汽包作锅炉给水；另一小部分送至轻芳烃选择性加氢装置。除氧器的汽提蒸汽来自1.0MPaG蒸汽管网和连续排污扩容器的扩容蒸汽。除氧器正常运行时，通过调节系统管网来的1.0MPaG蒸汽的流量来控制除氧器的压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 xml:space="preserve">②中压产汽系统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经锅炉给水泵加压后预热至250℃的除氧水送至中压汽包中，饱和水通过自然循环方式分别进入转化炉对流段的蒸发段和转化气蒸汽发生器发生3.8MPaG和蒸汽，该饱和蒸汽经转化炉对流段的蒸汽过热段过热至420℃后，大部分供转化炉配汽自用，其余送至3.5MPaG蒸汽管网；另一部分除氧水送至一段加氢反应器中压汽包，饱和水通过自然循环方式经一段加氢反应器发生 3.8MPaG中压饱和蒸汽，该饱和蒸汽可直接外输至中压蒸汽管网或送至1.0MPaG低压蒸汽管网。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③加药系统及排污系统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固体磷酸三钠送入加药装置溶解器中，用来自中压锅炉给水泵的除氧水溶解后经加药泵将药液分别送至中压汽包、一段加氢反应器中压汽包和转化气蒸汽发生器中压汽包。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为了减少系统的热损失并保护操作环境，设置了连续排污扩容器和定期排污扩容器。由于中压产汽系统的排污水温位较高，首先送至连续排污扩容器，扩容蒸汽引入除氧器。扩容后的排污水送入定期排污扩容器，并加入新鲜水冷却至40℃以下排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2、中芳烃（柴油）加氢改质装置工艺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（1）反应部分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自罐区来的原料油混合后经原料油自动反冲洗过滤器除去原料中大于25微米的颗粒，然后进入由燃料气保护的原料油缓冲罐，经原料油泵升压后，在流量控制下，与混合氢混合后，经反应流出物/混合进料换热器换热后进入反应进料加热炉。混合进料经加热至反应所需温度后依次流经两台加氢精制反应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自制氢装置来的氢气经新氢分液罐后进入新氢压缩机，新氢分液罐主要为稳定氢气压力，起保护作用，基本没有废物产生，经过新氢压缩机后氢气部分回流，部分和由循环氢压缩机来的循环氢混合后部分与中芳烃（柴油）原料混合经反应产物/混氢油换热器（二）、反应产物/混氢油换热器（一）换热后进入反应进料加热炉加热后进入加氢精制反应器，加氢精制反应器床层中间设注冷氢设施，另一路经新氢返回冷却器冷却后返回新氢分液罐，维持新氢压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反应产物由加氢精制反应器（二）底部流出，依次与混氢油、低分油及混氢油换热，后反应产物水冷器冷却至50℃，进入高压分离器。为了防止反应产物中铵盐在低温部分结晶，堵塞空冷器，在反应产物进入空冷器前注入除盐水或汽提净化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冷却后的反应产物在高压分离器中进行油、气、水三相分离。高分气（循环氢）经循环氢脱硫塔脱硫后进入循环氢分液罐分液，进入循环氢压缩机升压至12MPa，然后与来自新氢压缩机的新氢混合，混合氢与原料油混合作为反应进料。高压分离器中油相在液位控制下，经减压调节阀进入低压分离器，顶部低分气排至催化裂化装置进行脱硫。低压分离器底部含硫污水在界位控制下，经减压调节阀送出装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低分油经低分油-精制柴油换热器和反应产物-低分油换热器换热后至脱硫化氢汽提塔，入塔温度用旁路调节控制。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原料柴油主要由单环、双环和三环芳烃同系物组成，并含有少量链烷烃和环烷烃，其各种组成结构比较复杂，下面主要列举一些有代表性的加氢反应来说明：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lang w:val="pt-BR"/>
        </w:rPr>
      </w:pPr>
      <w:r>
        <w:rPr>
          <w:sz w:val="24"/>
          <w:szCs w:val="24"/>
        </w:rPr>
        <w:t>烷基苯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lang w:val="pt-BR"/>
        </w:rPr>
      </w:pPr>
      <w:r>
        <w:rPr>
          <w:sz w:val="24"/>
          <w:szCs w:val="24"/>
          <w:lang w:val="pt-BR"/>
        </w:rPr>
        <w:t>C</w:t>
      </w:r>
      <w:r>
        <w:rPr>
          <w:sz w:val="24"/>
          <w:szCs w:val="24"/>
          <w:vertAlign w:val="subscript"/>
          <w:lang w:val="pt-BR"/>
        </w:rPr>
        <w:t>6</w:t>
      </w:r>
      <w:r>
        <w:rPr>
          <w:sz w:val="24"/>
          <w:szCs w:val="24"/>
          <w:lang w:val="pt-BR"/>
        </w:rPr>
        <w:t>H</w:t>
      </w:r>
      <w:r>
        <w:rPr>
          <w:sz w:val="24"/>
          <w:szCs w:val="24"/>
          <w:vertAlign w:val="subscript"/>
          <w:lang w:val="pt-BR"/>
        </w:rPr>
        <w:t>5</w:t>
      </w:r>
      <w:r>
        <w:rPr>
          <w:sz w:val="24"/>
          <w:szCs w:val="24"/>
          <w:lang w:val="pt-BR"/>
        </w:rPr>
        <w:t>C</w:t>
      </w:r>
      <w:r>
        <w:rPr>
          <w:sz w:val="24"/>
          <w:szCs w:val="24"/>
          <w:vertAlign w:val="subscript"/>
          <w:lang w:val="pt-BR"/>
        </w:rPr>
        <w:t>n</w:t>
      </w:r>
      <w:r>
        <w:rPr>
          <w:sz w:val="24"/>
          <w:szCs w:val="24"/>
          <w:lang w:val="pt-BR"/>
        </w:rPr>
        <w:t>H</w:t>
      </w:r>
      <w:r>
        <w:rPr>
          <w:sz w:val="24"/>
          <w:szCs w:val="24"/>
          <w:vertAlign w:val="subscript"/>
          <w:lang w:val="pt-BR"/>
        </w:rPr>
        <w:t>2n+1</w:t>
      </w:r>
      <w:r>
        <w:rPr>
          <w:sz w:val="24"/>
          <w:szCs w:val="24"/>
          <w:lang w:val="pt-BR"/>
        </w:rPr>
        <w:t>(n=10~13)+4H</w:t>
      </w:r>
      <w:r>
        <w:rPr>
          <w:sz w:val="24"/>
          <w:szCs w:val="24"/>
          <w:vertAlign w:val="subscript"/>
          <w:lang w:val="pt-BR"/>
        </w:rPr>
        <w:t xml:space="preserve">2 </w:t>
      </w:r>
      <w:r>
        <w:rPr>
          <w:sz w:val="24"/>
          <w:szCs w:val="24"/>
          <w:lang w:val="pt-BR"/>
        </w:rPr>
        <w:t>= C</w:t>
      </w:r>
      <w:r>
        <w:rPr>
          <w:sz w:val="24"/>
          <w:szCs w:val="24"/>
          <w:vertAlign w:val="subscript"/>
          <w:lang w:val="pt-BR"/>
        </w:rPr>
        <w:t>6+n</w:t>
      </w:r>
      <w:r>
        <w:rPr>
          <w:sz w:val="24"/>
          <w:szCs w:val="24"/>
          <w:lang w:val="pt-BR"/>
        </w:rPr>
        <w:t>H</w:t>
      </w:r>
      <w:r>
        <w:rPr>
          <w:sz w:val="24"/>
          <w:szCs w:val="24"/>
          <w:vertAlign w:val="subscript"/>
          <w:lang w:val="pt-BR"/>
        </w:rPr>
        <w:t>2n+14</w:t>
      </w:r>
      <w:r>
        <w:rPr>
          <w:sz w:val="24"/>
          <w:szCs w:val="24"/>
          <w:lang w:val="pt-BR"/>
        </w:rPr>
        <w:t>(n=10~13)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萘类(以萘为代表)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lang w:val="pt-BR"/>
        </w:rPr>
      </w:pPr>
      <w:r>
        <w:rPr>
          <w:sz w:val="24"/>
          <w:szCs w:val="24"/>
          <w:lang w:val="pt-BR"/>
        </w:rPr>
        <w:t>C</w:t>
      </w:r>
      <w:r>
        <w:rPr>
          <w:sz w:val="24"/>
          <w:szCs w:val="24"/>
          <w:vertAlign w:val="subscript"/>
          <w:lang w:val="pt-BR"/>
        </w:rPr>
        <w:t>10</w:t>
      </w:r>
      <w:r>
        <w:rPr>
          <w:sz w:val="24"/>
          <w:szCs w:val="24"/>
          <w:lang w:val="pt-BR"/>
        </w:rPr>
        <w:t>H</w:t>
      </w:r>
      <w:r>
        <w:rPr>
          <w:sz w:val="24"/>
          <w:szCs w:val="24"/>
          <w:vertAlign w:val="subscript"/>
          <w:lang w:val="pt-BR"/>
        </w:rPr>
        <w:t>8</w:t>
      </w:r>
      <w:r>
        <w:rPr>
          <w:sz w:val="24"/>
          <w:szCs w:val="24"/>
          <w:lang w:val="pt-BR"/>
        </w:rPr>
        <w:t>+7H</w:t>
      </w:r>
      <w:r>
        <w:rPr>
          <w:sz w:val="24"/>
          <w:szCs w:val="24"/>
          <w:vertAlign w:val="subscript"/>
          <w:lang w:val="pt-BR"/>
        </w:rPr>
        <w:t>2</w:t>
      </w:r>
      <w:r>
        <w:rPr>
          <w:sz w:val="24"/>
          <w:szCs w:val="24"/>
          <w:lang w:val="pt-BR"/>
        </w:rPr>
        <w:t>= C</w:t>
      </w:r>
      <w:r>
        <w:rPr>
          <w:sz w:val="24"/>
          <w:szCs w:val="24"/>
          <w:vertAlign w:val="subscript"/>
          <w:lang w:val="pt-BR"/>
        </w:rPr>
        <w:t>10</w:t>
      </w:r>
      <w:r>
        <w:rPr>
          <w:sz w:val="24"/>
          <w:szCs w:val="24"/>
          <w:lang w:val="pt-BR"/>
        </w:rPr>
        <w:t>H</w:t>
      </w:r>
      <w:r>
        <w:rPr>
          <w:sz w:val="24"/>
          <w:szCs w:val="24"/>
          <w:vertAlign w:val="subscript"/>
          <w:lang w:val="pt-BR"/>
        </w:rPr>
        <w:t>22</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茚类、苊类和三环芳烃等(以茚、苊、蒽为代表)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茚 C</w:t>
      </w:r>
      <w:r>
        <w:rPr>
          <w:sz w:val="24"/>
          <w:szCs w:val="24"/>
          <w:vertAlign w:val="subscript"/>
        </w:rPr>
        <w:t>9</w:t>
      </w:r>
      <w:r>
        <w:rPr>
          <w:sz w:val="24"/>
          <w:szCs w:val="24"/>
        </w:rPr>
        <w:t>H</w:t>
      </w:r>
      <w:r>
        <w:rPr>
          <w:sz w:val="24"/>
          <w:szCs w:val="24"/>
          <w:vertAlign w:val="subscript"/>
        </w:rPr>
        <w:t>8</w:t>
      </w:r>
      <w:r>
        <w:rPr>
          <w:sz w:val="24"/>
          <w:szCs w:val="24"/>
        </w:rPr>
        <w:t>+6H</w:t>
      </w:r>
      <w:r>
        <w:rPr>
          <w:sz w:val="24"/>
          <w:szCs w:val="24"/>
          <w:vertAlign w:val="subscript"/>
        </w:rPr>
        <w:t>2</w:t>
      </w:r>
      <w:r>
        <w:rPr>
          <w:sz w:val="24"/>
          <w:szCs w:val="24"/>
        </w:rPr>
        <w:t>= C</w:t>
      </w:r>
      <w:r>
        <w:rPr>
          <w:sz w:val="24"/>
          <w:szCs w:val="24"/>
          <w:vertAlign w:val="subscript"/>
        </w:rPr>
        <w:t>9</w:t>
      </w:r>
      <w:r>
        <w:rPr>
          <w:sz w:val="24"/>
          <w:szCs w:val="24"/>
        </w:rPr>
        <w:t>H</w:t>
      </w:r>
      <w:r>
        <w:rPr>
          <w:sz w:val="24"/>
          <w:szCs w:val="24"/>
          <w:vertAlign w:val="subscript"/>
        </w:rPr>
        <w:t>20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苊 C</w:t>
      </w:r>
      <w:r>
        <w:rPr>
          <w:sz w:val="24"/>
          <w:szCs w:val="24"/>
          <w:vertAlign w:val="subscript"/>
        </w:rPr>
        <w:t>12</w:t>
      </w:r>
      <w:r>
        <w:rPr>
          <w:sz w:val="24"/>
          <w:szCs w:val="24"/>
        </w:rPr>
        <w:t>H</w:t>
      </w:r>
      <w:r>
        <w:rPr>
          <w:sz w:val="24"/>
          <w:szCs w:val="24"/>
          <w:vertAlign w:val="subscript"/>
        </w:rPr>
        <w:t>8</w:t>
      </w:r>
      <w:r>
        <w:rPr>
          <w:sz w:val="24"/>
          <w:szCs w:val="24"/>
        </w:rPr>
        <w:t>+9H</w:t>
      </w:r>
      <w:r>
        <w:rPr>
          <w:sz w:val="24"/>
          <w:szCs w:val="24"/>
          <w:vertAlign w:val="subscript"/>
        </w:rPr>
        <w:t>2</w:t>
      </w:r>
      <w:r>
        <w:rPr>
          <w:sz w:val="24"/>
          <w:szCs w:val="24"/>
        </w:rPr>
        <w:t>= C</w:t>
      </w:r>
      <w:r>
        <w:rPr>
          <w:sz w:val="24"/>
          <w:szCs w:val="24"/>
          <w:vertAlign w:val="subscript"/>
        </w:rPr>
        <w:t>12</w:t>
      </w:r>
      <w:r>
        <w:rPr>
          <w:sz w:val="24"/>
          <w:szCs w:val="24"/>
        </w:rPr>
        <w:t>H</w:t>
      </w:r>
      <w:r>
        <w:rPr>
          <w:sz w:val="24"/>
          <w:szCs w:val="24"/>
          <w:vertAlign w:val="subscript"/>
        </w:rPr>
        <w:t>26</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蒽 C</w:t>
      </w:r>
      <w:r>
        <w:rPr>
          <w:sz w:val="24"/>
          <w:szCs w:val="24"/>
          <w:vertAlign w:val="subscript"/>
        </w:rPr>
        <w:t>14</w:t>
      </w:r>
      <w:r>
        <w:rPr>
          <w:sz w:val="24"/>
          <w:szCs w:val="24"/>
        </w:rPr>
        <w:t>H</w:t>
      </w:r>
      <w:r>
        <w:rPr>
          <w:sz w:val="24"/>
          <w:szCs w:val="24"/>
          <w:vertAlign w:val="subscript"/>
        </w:rPr>
        <w:t>10</w:t>
      </w:r>
      <w:r>
        <w:rPr>
          <w:sz w:val="24"/>
          <w:szCs w:val="24"/>
        </w:rPr>
        <w:t>+10H</w:t>
      </w:r>
      <w:r>
        <w:rPr>
          <w:sz w:val="24"/>
          <w:szCs w:val="24"/>
          <w:vertAlign w:val="subscript"/>
        </w:rPr>
        <w:t>2</w:t>
      </w:r>
      <w:r>
        <w:rPr>
          <w:sz w:val="24"/>
          <w:szCs w:val="24"/>
        </w:rPr>
        <w:t>= C</w:t>
      </w:r>
      <w:r>
        <w:rPr>
          <w:sz w:val="24"/>
          <w:szCs w:val="24"/>
          <w:vertAlign w:val="subscript"/>
        </w:rPr>
        <w:t>14</w:t>
      </w:r>
      <w:r>
        <w:rPr>
          <w:sz w:val="24"/>
          <w:szCs w:val="24"/>
        </w:rPr>
        <w:t>H</w:t>
      </w:r>
      <w:r>
        <w:rPr>
          <w:sz w:val="24"/>
          <w:szCs w:val="24"/>
          <w:vertAlign w:val="subscript"/>
        </w:rPr>
        <w:t>30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除上述反应外，还存在许多类似芳烃同系物的加氢裂化等次要反应。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（2）分馏部分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低分油进入脱硫化氢汽提塔，经过蒸汽汽提除去硫化氢，硫化氢汽提塔塔顶气经空冷器及硫化氢汽提塔顶后水冷器冷却至 40℃后在回流罐内进行气、油、水分离。分离出的气体送火炬。回流罐分离出轻烃，一部分作为硫化氢汽提塔顶回流，另一部分出装置，罐底分离出的含硫污水与冷低分污水出口一起，送至污水汽提装置。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3、 酸性水汽提、硫磺回收及溶剂再生工艺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（1）酸性水汽提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自各装置来的混合酸性水（其中H</w:t>
      </w:r>
      <w:r>
        <w:rPr>
          <w:sz w:val="24"/>
          <w:szCs w:val="24"/>
          <w:vertAlign w:val="subscript"/>
        </w:rPr>
        <w:t>2</w:t>
      </w:r>
      <w:r>
        <w:rPr>
          <w:sz w:val="24"/>
          <w:szCs w:val="24"/>
        </w:rPr>
        <w:t>S: 3000～6300mg/L，NH</w:t>
      </w:r>
      <w:r>
        <w:rPr>
          <w:sz w:val="24"/>
          <w:szCs w:val="24"/>
          <w:vertAlign w:val="subscript"/>
        </w:rPr>
        <w:t>3</w:t>
      </w:r>
      <w:r>
        <w:rPr>
          <w:sz w:val="24"/>
          <w:szCs w:val="24"/>
        </w:rPr>
        <w:t>：1000～1500 mg/L）首先进行脱气、除油，然后分两路进入主汽提塔：一路冷进料直接进入塔顶作冷回流，另一路经与净化水、侧线气换热至150℃后进入主汽提塔第一层塔盘，塔底由重沸器提供热量。酸性气自塔顶出来进硫磺回收部分。富氨侧线气自塔第17层塔盘抽出，经三级冷凝分液后部分配制成氨水，部分送硫磺回收部分。塔底160℃的净化水（其中H</w:t>
      </w:r>
      <w:r>
        <w:rPr>
          <w:sz w:val="24"/>
          <w:szCs w:val="24"/>
          <w:vertAlign w:val="subscript"/>
        </w:rPr>
        <w:t>2</w:t>
      </w:r>
      <w:r>
        <w:rPr>
          <w:sz w:val="24"/>
          <w:szCs w:val="24"/>
        </w:rPr>
        <w:t>S≤20 mg/L ，NH</w:t>
      </w:r>
      <w:r>
        <w:rPr>
          <w:sz w:val="24"/>
          <w:szCs w:val="24"/>
          <w:vertAlign w:val="subscript"/>
        </w:rPr>
        <w:t>3</w:t>
      </w:r>
      <w:r>
        <w:rPr>
          <w:sz w:val="24"/>
          <w:szCs w:val="24"/>
        </w:rPr>
        <w:t>≤100 mg/L）经与酸性水换热后，一部分回用于丙烯原料生产等装置注水，另一部分经空冷、水冷后排入污水处理站。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（2）硫磺回收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硫磺回收热反应原理：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热反应段发生的主反应：H</w:t>
      </w:r>
      <w:r>
        <w:rPr>
          <w:sz w:val="24"/>
          <w:szCs w:val="24"/>
          <w:vertAlign w:val="subscript"/>
        </w:rPr>
        <w:t>2</w:t>
      </w:r>
      <w:r>
        <w:rPr>
          <w:sz w:val="24"/>
          <w:szCs w:val="24"/>
        </w:rPr>
        <w:t>S +3/2 O</w:t>
      </w:r>
      <w:r>
        <w:rPr>
          <w:sz w:val="24"/>
          <w:szCs w:val="24"/>
          <w:vertAlign w:val="subscript"/>
        </w:rPr>
        <w:t xml:space="preserve">2 </w:t>
      </w:r>
      <w:r>
        <w:rPr>
          <w:sz w:val="24"/>
          <w:szCs w:val="24"/>
        </w:rPr>
        <w:t>→SO</w:t>
      </w:r>
      <w:r>
        <w:rPr>
          <w:sz w:val="24"/>
          <w:szCs w:val="24"/>
          <w:vertAlign w:val="subscript"/>
        </w:rPr>
        <w:t>2</w:t>
      </w:r>
      <w:r>
        <w:rPr>
          <w:sz w:val="24"/>
          <w:szCs w:val="24"/>
        </w:rPr>
        <w:t xml:space="preserve"> + H</w:t>
      </w:r>
      <w:r>
        <w:rPr>
          <w:sz w:val="24"/>
          <w:szCs w:val="24"/>
          <w:vertAlign w:val="subscript"/>
        </w:rPr>
        <w:t>2</w:t>
      </w:r>
      <w:r>
        <w:rPr>
          <w:sz w:val="24"/>
          <w:szCs w:val="24"/>
        </w:rPr>
        <w:t>O</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lang w:val="pt-BR"/>
        </w:rPr>
      </w:pPr>
      <w:r>
        <w:rPr>
          <w:sz w:val="24"/>
          <w:szCs w:val="24"/>
        </w:rPr>
        <w:t>催化反应段发生的主反应：</w:t>
      </w:r>
      <w:r>
        <w:rPr>
          <w:sz w:val="24"/>
          <w:szCs w:val="24"/>
          <w:lang w:val="pt-BR"/>
        </w:rPr>
        <w:t>2H</w:t>
      </w:r>
      <w:r>
        <w:rPr>
          <w:sz w:val="24"/>
          <w:szCs w:val="24"/>
          <w:vertAlign w:val="subscript"/>
          <w:lang w:val="pt-BR"/>
        </w:rPr>
        <w:t>2</w:t>
      </w:r>
      <w:r>
        <w:rPr>
          <w:sz w:val="24"/>
          <w:szCs w:val="24"/>
          <w:lang w:val="pt-BR"/>
        </w:rPr>
        <w:t>S + SO</w:t>
      </w:r>
      <w:r>
        <w:rPr>
          <w:sz w:val="24"/>
          <w:szCs w:val="24"/>
          <w:vertAlign w:val="subscript"/>
          <w:lang w:val="pt-BR"/>
        </w:rPr>
        <w:t xml:space="preserve">2 </w:t>
      </w:r>
      <w:r>
        <w:rPr>
          <w:sz w:val="24"/>
          <w:szCs w:val="24"/>
          <w:lang w:val="pt-BR"/>
        </w:rPr>
        <w:t>→ 3S+ 2H</w:t>
      </w:r>
      <w:r>
        <w:rPr>
          <w:sz w:val="24"/>
          <w:szCs w:val="24"/>
          <w:vertAlign w:val="subscript"/>
          <w:lang w:val="pt-BR"/>
        </w:rPr>
        <w:t>2</w:t>
      </w:r>
      <w:r>
        <w:rPr>
          <w:sz w:val="24"/>
          <w:szCs w:val="24"/>
          <w:lang w:val="pt-BR"/>
        </w:rPr>
        <w:t>O</w:t>
      </w:r>
      <w:r>
        <w:rPr>
          <w:sz w:val="24"/>
          <w:szCs w:val="24"/>
          <w:lang w:val="pt-BR"/>
        </w:rPr>
        <w:tab/>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来自酸性水汽提部分和溶剂集中再生部分的两股酸性气经分液罐分液后经预热至160℃，混合酸性气进入酸性气燃烧炉燃烧，分液罐分出的酸性液经酸性液压送罐至酸性水汽提部分处理。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来自酸性气燃烧炉鼓风机的空气采用蒸汽预热至160℃进入燃烧炉，在酸性气进口管道上设有酸性气在线分析仪，分析硫化氢及烃类含量，按烃类完全燃烧和1/3硫化氢生成二氧化硫来控制80%的风量和按CLAUS尾气中H</w:t>
      </w:r>
      <w:r>
        <w:rPr>
          <w:sz w:val="24"/>
          <w:szCs w:val="24"/>
          <w:vertAlign w:val="subscript"/>
        </w:rPr>
        <w:t>2</w:t>
      </w:r>
      <w:r>
        <w:rPr>
          <w:sz w:val="24"/>
          <w:szCs w:val="24"/>
        </w:rPr>
        <w:t>S/SO</w:t>
      </w:r>
      <w:r>
        <w:rPr>
          <w:sz w:val="24"/>
          <w:szCs w:val="24"/>
          <w:vertAlign w:val="subscript"/>
        </w:rPr>
        <w:t>2</w:t>
      </w:r>
      <w:r>
        <w:rPr>
          <w:sz w:val="24"/>
          <w:szCs w:val="24"/>
        </w:rPr>
        <w:t>=2控制20%的风量，及时调节风量。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燃烧后高温过程气进入余热锅炉冷却至350℃并发生1.0MPa蒸汽后，进入一级冷凝冷却器冷却至170℃并除雾后，液硫从一级冷凝冷却器底部经液硫封罐进入硫池。过程气经一级掺和阀与炉内高温气流掺和至240℃，进入一级反应器，在CLAUS催化剂的作用下，硫化氢与二氧化硫发生反应，生成硫磺。反应后过程气经二级冷凝冷却器冷却至160℃并除雾后，液硫从二级冷凝冷却器底部经液硫封罐进入硫池。过程气经二级掺和阀与炉内高温气流掺合至220℃，进入二级反应器，在CLAUS催化剂的作用下，硫化氢与二氧化硫继续发生反应生成硫磺。反应后过程气经三级冷凝冷却器冷至130℃并除雾后，液流从三级冷凝冷却器底部经液硫封罐进入硫池。尾气再经液硫捕集器进一步捕集硫雾后，送至尾气处理系统。在捕集器出口尾气管线上设置尾气在线分析仪，分析尾气中H</w:t>
      </w:r>
      <w:r>
        <w:rPr>
          <w:sz w:val="24"/>
          <w:szCs w:val="24"/>
          <w:vertAlign w:val="subscript"/>
        </w:rPr>
        <w:t>2</w:t>
      </w:r>
      <w:r>
        <w:rPr>
          <w:sz w:val="24"/>
          <w:szCs w:val="24"/>
        </w:rPr>
        <w:t>S-2SO</w:t>
      </w:r>
      <w:r>
        <w:rPr>
          <w:sz w:val="24"/>
          <w:szCs w:val="24"/>
          <w:vertAlign w:val="subscript"/>
        </w:rPr>
        <w:t>2</w:t>
      </w:r>
      <w:r>
        <w:rPr>
          <w:sz w:val="24"/>
          <w:szCs w:val="24"/>
        </w:rPr>
        <w:t>的值，反馈调节进酸性气燃烧炉的空气量，以保证过程气中H</w:t>
      </w:r>
      <w:r>
        <w:rPr>
          <w:sz w:val="24"/>
          <w:szCs w:val="24"/>
          <w:vertAlign w:val="subscript"/>
        </w:rPr>
        <w:t>2</w:t>
      </w:r>
      <w:r>
        <w:rPr>
          <w:sz w:val="24"/>
          <w:szCs w:val="24"/>
        </w:rPr>
        <w:t>S/SO</w:t>
      </w:r>
      <w:r>
        <w:rPr>
          <w:sz w:val="24"/>
          <w:szCs w:val="24"/>
          <w:vertAlign w:val="subscript"/>
        </w:rPr>
        <w:t>2</w:t>
      </w:r>
      <w:r>
        <w:rPr>
          <w:sz w:val="24"/>
          <w:szCs w:val="24"/>
        </w:rPr>
        <w:t>为2：1，使CLAUS反应转化率达到最高，同时提高硫回收率，减少硫损失。硫池中液硫脱气泵进行液硫循环脱气，释放出少量H</w:t>
      </w:r>
      <w:r>
        <w:rPr>
          <w:sz w:val="24"/>
          <w:szCs w:val="24"/>
          <w:vertAlign w:val="subscript"/>
        </w:rPr>
        <w:t>2</w:t>
      </w:r>
      <w:r>
        <w:rPr>
          <w:sz w:val="24"/>
          <w:szCs w:val="24"/>
        </w:rPr>
        <w:t>S用蒸汽喷射器抽送至尾气焚烧炉。产品液硫经液硫泵送出装置至液硫储罐。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当硫磺回收装置处于事故状态时，酸性气送装置外酸性气火柜焚烧。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（3）尾气处理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自液硫捕集器来的CLAUS尾气在尾气加热器中与尾气焚烧炉余热锅炉后烟气换热升温，被加热至300℃左右，与外补富氢气（外补富氢气来自裂解气制氢）混合进入加氢反应器。在加氢催化剂作用下，SO</w:t>
      </w:r>
      <w:r>
        <w:rPr>
          <w:sz w:val="24"/>
          <w:szCs w:val="24"/>
          <w:vertAlign w:val="subscript"/>
        </w:rPr>
        <w:t>2</w:t>
      </w:r>
      <w:r>
        <w:rPr>
          <w:sz w:val="24"/>
          <w:szCs w:val="24"/>
        </w:rPr>
        <w:t>、COS、CS</w:t>
      </w:r>
      <w:r>
        <w:rPr>
          <w:sz w:val="24"/>
          <w:szCs w:val="24"/>
          <w:vertAlign w:val="subscript"/>
        </w:rPr>
        <w:t>2</w:t>
      </w:r>
      <w:r>
        <w:rPr>
          <w:sz w:val="24"/>
          <w:szCs w:val="24"/>
        </w:rPr>
        <w:t>及液硫、气态硫等均被转化成H</w:t>
      </w:r>
      <w:r>
        <w:rPr>
          <w:sz w:val="24"/>
          <w:szCs w:val="24"/>
          <w:vertAlign w:val="subscript"/>
        </w:rPr>
        <w:t>2</w:t>
      </w:r>
      <w:r>
        <w:rPr>
          <w:sz w:val="24"/>
          <w:szCs w:val="24"/>
        </w:rPr>
        <w:t>S。加氢反应为放热反应，离开反应器后温度为355℃的过程气直接进入急冷塔。尾气在急冷塔内利用循环急冷水来降温。70℃的急冷水从急冷塔底部流出，经急冷水泵加压后，进入急冷水冷却器及后冷器冷却至40℃后，循环到急冷塔顶部。部分急冷水经急冷水过滤器过滤后返回急冷水泵入口。尾气冷却冷凝产生的少量酸性水由急冷水泵送至酸性水汽提装置。为了防止酸性水对设备的腐蚀，需向急冷水中注氨，急冷水管线设置pH在线分析仪，操作中根据pH值的大小，确定注入的氨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自急冷塔顶出来的尾气进入尾气吸收塔，用30%的贫N-甲基二乙醇胺溶液吸收尾气中的硫化氢，同时吸收部分二氧化碳。从塔顶出来的净化尾气进入尾气焚烧炉焚烧，由燃料气流量控制炉膛温度，在焚烧炉内，尾气中残存的硫化氢及其它硫化物几乎完全转化成二氧化硫。焚烧后的烟气经余热锅炉回收热量后温度降至430℃，进入尾气加热器与CLAUS尾气换热至300℃经烟囱高空排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当尾气处理部分处于事故状态时，CLAUS尾气通过跨线直接进入尾气焚烧炉焚烧后通过烟囱排空。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（4）溶剂再生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尾气吸收塔底部排出的富溶剂经富液泵升压后，与来自加氢装置的富液混合过滤后，经贫富液换热器与来自溶剂再生塔塔底的贫液换热至65℃后进入闪蒸塔闪蒸出溶解烃，通过闪蒸塔底富液泵升压，经二级贫富液换热器与贫液换热至95℃进入再生塔底部，塔底由重沸器供热。液体中的硫化氢和部分二氧化碳被解析出来自塔顶排出，经酸性气空气冷却器、酸性气后冷器冷凝冷却后，进入再生塔顶分液罐分液。酸性气返回硫磺回收部分的酸性气燃烧炉，冷凝液作为回流经回流泵返塔。塔底贫液经冷却至40℃送至尾气吸收塔循环使用，剩余部分排至溶剂储存罐，经加氢贫液循环泵升压后送至加氢气体脱硫塔循环使用。</w:t>
      </w:r>
    </w:p>
    <w:p>
      <w:pPr>
        <w:pStyle w:val="4"/>
        <w:spacing w:before="120" w:after="120"/>
      </w:pPr>
      <w:bookmarkStart w:id="11" w:name="_Toc29943"/>
      <w:bookmarkStart w:id="12" w:name="_Toc3619"/>
      <w:bookmarkStart w:id="13" w:name="_Toc29700"/>
      <w:bookmarkStart w:id="14" w:name="_Toc12103"/>
      <w:bookmarkStart w:id="15" w:name="_Toc18660"/>
      <w:bookmarkStart w:id="16" w:name="_Toc490656317"/>
      <w:bookmarkStart w:id="17" w:name="_Toc490656318"/>
      <w:bookmarkStart w:id="18" w:name="_Toc1650"/>
      <w:r>
        <w:rPr>
          <w:rFonts w:hint="eastAsia"/>
          <w:lang w:val="en-US" w:eastAsia="zh-CN"/>
        </w:rPr>
        <w:t>3.3</w:t>
      </w:r>
      <w:r>
        <w:t>.2产污环节</w:t>
      </w:r>
      <w:bookmarkEnd w:id="11"/>
      <w:bookmarkEnd w:id="12"/>
      <w:bookmarkEnd w:id="13"/>
      <w:bookmarkEnd w:id="14"/>
      <w:bookmarkEnd w:id="15"/>
      <w:bookmarkEnd w:id="16"/>
    </w:p>
    <w:p>
      <w:pPr>
        <w:numPr>
          <w:ilvl w:val="0"/>
          <w:numId w:val="3"/>
        </w:numPr>
        <w:ind w:firstLine="480"/>
      </w:pPr>
      <w:r>
        <w:t>中芳烃（柴油）加氢改质装置</w:t>
      </w:r>
    </w:p>
    <w:p>
      <w:pPr>
        <w:ind w:firstLine="480"/>
        <w:jc w:val="left"/>
      </w:pPr>
      <w:r>
        <w:rPr>
          <w:rFonts w:ascii="宋体" w:hAnsi="宋体" w:cs="宋体"/>
          <w:szCs w:val="24"/>
        </w:rPr>
        <w:fldChar w:fldCharType="begin"/>
      </w:r>
      <w:r>
        <w:rPr>
          <w:rFonts w:ascii="宋体" w:hAnsi="宋体" w:cs="宋体"/>
          <w:szCs w:val="24"/>
        </w:rPr>
        <w:instrText xml:space="preserve">INCLUDEPICTURE \d "C:\\Users\\Administrator\\AppData\\Roaming\\Tencent\\Users\\296505006\\QQ\\WinTemp\\RichOle\\}Z~J4Y}$UA%$[ESN]E7PIHB.png" \* MERGEFORMATINET </w:instrText>
      </w:r>
      <w:r>
        <w:rPr>
          <w:rFonts w:ascii="宋体" w:hAnsi="宋体" w:cs="宋体"/>
          <w:szCs w:val="24"/>
        </w:rPr>
        <w:fldChar w:fldCharType="separate"/>
      </w:r>
      <w:r>
        <w:rPr>
          <w:rFonts w:ascii="宋体" w:hAnsi="宋体" w:cs="宋体"/>
          <w:szCs w:val="24"/>
        </w:rPr>
        <w:fldChar w:fldCharType="begin"/>
      </w:r>
      <w:r>
        <w:rPr>
          <w:rFonts w:ascii="宋体" w:hAnsi="宋体" w:cs="宋体"/>
          <w:szCs w:val="24"/>
        </w:rPr>
        <w:instrText xml:space="preserve"> INCLUDEPICTURE  "C:\\Users\\Administrator\\AppData\\Roaming\\Tencent\\Users\\296505006\\QQ\\WinTemp\\RichOle\\}Z~J4Y}$UA%$[ESN]E7PIHB.png" \* MERGEFORMATINET </w:instrText>
      </w:r>
      <w:r>
        <w:rPr>
          <w:rFonts w:ascii="宋体" w:hAnsi="宋体" w:cs="宋体"/>
          <w:szCs w:val="24"/>
        </w:rPr>
        <w:fldChar w:fldCharType="separate"/>
      </w:r>
      <w:r>
        <w:rPr>
          <w:rFonts w:ascii="宋体" w:hAnsi="宋体" w:cs="宋体"/>
          <w:szCs w:val="24"/>
        </w:rPr>
        <w:drawing>
          <wp:inline distT="0" distB="0" distL="114300" distR="114300">
            <wp:extent cx="4997450" cy="3376930"/>
            <wp:effectExtent l="0" t="0" r="12700" b="1397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7" r:link="rId8"/>
                    <a:stretch>
                      <a:fillRect/>
                    </a:stretch>
                  </pic:blipFill>
                  <pic:spPr>
                    <a:xfrm>
                      <a:off x="0" y="0"/>
                      <a:ext cx="4997450" cy="3376930"/>
                    </a:xfrm>
                    <a:prstGeom prst="rect">
                      <a:avLst/>
                    </a:prstGeom>
                    <a:noFill/>
                    <a:ln w="9525">
                      <a:noFill/>
                    </a:ln>
                  </pic:spPr>
                </pic:pic>
              </a:graphicData>
            </a:graphic>
          </wp:inline>
        </w:drawing>
      </w:r>
      <w:r>
        <w:rPr>
          <w:rFonts w:ascii="宋体" w:hAnsi="宋体" w:cs="宋体"/>
          <w:szCs w:val="24"/>
        </w:rPr>
        <w:fldChar w:fldCharType="end"/>
      </w:r>
      <w:r>
        <w:rPr>
          <w:rFonts w:ascii="宋体" w:hAnsi="宋体" w:cs="宋体"/>
          <w:szCs w:val="24"/>
        </w:rPr>
        <w:fldChar w:fldCharType="end"/>
      </w:r>
    </w:p>
    <w:p>
      <w:pPr>
        <w:spacing w:line="240" w:lineRule="auto"/>
        <w:ind w:firstLine="0" w:firstLineChars="0"/>
      </w:pPr>
    </w:p>
    <w:p>
      <w:pPr>
        <w:spacing w:before="120" w:beforeLines="50" w:after="120" w:afterLines="50"/>
        <w:ind w:firstLine="0" w:firstLineChars="0"/>
        <w:jc w:val="center"/>
        <w:rPr>
          <w:b/>
          <w:bCs/>
          <w:szCs w:val="24"/>
        </w:rPr>
      </w:pPr>
      <w:r>
        <w:rPr>
          <w:b/>
          <w:bCs/>
          <w:szCs w:val="24"/>
        </w:rPr>
        <w:t>图</w:t>
      </w:r>
      <w:r>
        <w:rPr>
          <w:rFonts w:hint="eastAsia"/>
          <w:b/>
          <w:bCs/>
          <w:szCs w:val="24"/>
          <w:lang w:val="en-US" w:eastAsia="zh-CN"/>
        </w:rPr>
        <w:t>1</w:t>
      </w:r>
      <w:r>
        <w:rPr>
          <w:b/>
          <w:bCs/>
          <w:szCs w:val="24"/>
        </w:rPr>
        <w:t xml:space="preserve"> </w:t>
      </w:r>
      <w:r>
        <w:rPr>
          <w:rFonts w:hint="eastAsia"/>
          <w:b/>
          <w:bCs/>
          <w:szCs w:val="24"/>
        </w:rPr>
        <w:t xml:space="preserve"> </w:t>
      </w:r>
      <w:r>
        <w:rPr>
          <w:b/>
          <w:bCs/>
          <w:szCs w:val="24"/>
        </w:rPr>
        <w:t>中芳烃（柴油）加氢改质装置工艺及产污环节</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（1）废气</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本装置主要废气来自加氢进料加热炉烟气、装置区无组织排放的废气、汽提塔顶不凝气至催化裂化装置脱硫等。</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color w:val="FF0000"/>
          <w:sz w:val="24"/>
          <w:szCs w:val="24"/>
        </w:rPr>
      </w:pPr>
      <w:r>
        <w:rPr>
          <w:rFonts w:ascii="Times New Roman" w:hAnsi="Times New Roman"/>
          <w:sz w:val="24"/>
          <w:szCs w:val="24"/>
        </w:rPr>
        <w:t>（2）废水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本装置废水为含硫污水和含油废水，含硫废水为冷低压分离器罐底、汽提塔顶回流罐产生的含硫废水；含油污水为机泵冷却水。</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 xml:space="preserve">（3）固废 </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本装置固废主要为加氢精</w:t>
      </w:r>
      <w:r>
        <w:rPr>
          <w:rFonts w:hint="eastAsia" w:ascii="Times New Roman" w:hAnsi="Times New Roman"/>
          <w:sz w:val="24"/>
          <w:szCs w:val="24"/>
        </w:rPr>
        <w:t>制</w:t>
      </w:r>
      <w:r>
        <w:rPr>
          <w:rFonts w:ascii="Times New Roman" w:hAnsi="Times New Roman"/>
          <w:sz w:val="24"/>
          <w:szCs w:val="24"/>
        </w:rPr>
        <w:t>反应器产生的废精制催化剂、废保护球、废瓷球等。</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干气制氢装置</w:t>
      </w:r>
    </w:p>
    <w:p>
      <w:pPr>
        <w:spacing w:line="240" w:lineRule="auto"/>
        <w:ind w:firstLine="0" w:firstLineChars="0"/>
      </w:pPr>
      <w:r>
        <w:drawing>
          <wp:inline distT="0" distB="0" distL="114300" distR="114300">
            <wp:extent cx="5477510" cy="3847465"/>
            <wp:effectExtent l="0" t="0" r="8890" b="635"/>
            <wp:docPr id="4" name="图片 2" descr="15144329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1514432987(1)"/>
                    <pic:cNvPicPr>
                      <a:picLocks noChangeAspect="1"/>
                    </pic:cNvPicPr>
                  </pic:nvPicPr>
                  <pic:blipFill>
                    <a:blip r:embed="rId9"/>
                    <a:stretch>
                      <a:fillRect/>
                    </a:stretch>
                  </pic:blipFill>
                  <pic:spPr>
                    <a:xfrm>
                      <a:off x="0" y="0"/>
                      <a:ext cx="5477510" cy="3847465"/>
                    </a:xfrm>
                    <a:prstGeom prst="rect">
                      <a:avLst/>
                    </a:prstGeom>
                    <a:noFill/>
                    <a:ln w="9525">
                      <a:noFill/>
                    </a:ln>
                  </pic:spPr>
                </pic:pic>
              </a:graphicData>
            </a:graphic>
          </wp:inline>
        </w:drawing>
      </w:r>
    </w:p>
    <w:p>
      <w:pPr>
        <w:spacing w:before="120" w:beforeLines="50" w:after="120" w:afterLines="50"/>
        <w:ind w:firstLine="0" w:firstLineChars="0"/>
        <w:jc w:val="center"/>
        <w:rPr>
          <w:b/>
          <w:bCs/>
          <w:szCs w:val="24"/>
        </w:rPr>
      </w:pPr>
      <w:r>
        <w:rPr>
          <w:b/>
          <w:bCs/>
          <w:szCs w:val="24"/>
        </w:rPr>
        <w:t>图</w:t>
      </w:r>
      <w:r>
        <w:rPr>
          <w:rFonts w:hint="eastAsia"/>
          <w:b/>
          <w:bCs/>
          <w:szCs w:val="24"/>
          <w:lang w:val="en-US" w:eastAsia="zh-CN"/>
        </w:rPr>
        <w:t>2</w:t>
      </w:r>
      <w:r>
        <w:rPr>
          <w:b/>
          <w:bCs/>
          <w:szCs w:val="24"/>
        </w:rPr>
        <w:t xml:space="preserve"> </w:t>
      </w:r>
      <w:r>
        <w:rPr>
          <w:rFonts w:hint="eastAsia"/>
          <w:b/>
          <w:bCs/>
          <w:szCs w:val="24"/>
        </w:rPr>
        <w:t xml:space="preserve">  </w:t>
      </w:r>
      <w:r>
        <w:rPr>
          <w:b/>
          <w:bCs/>
          <w:szCs w:val="24"/>
        </w:rPr>
        <w:t>干气制氢装置工艺及产污环节</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（1）废气</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干气制氢装置废气主要为原料预热炉烟气、转化炉排放的烟气。</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（2）废水</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干气制氢装置废水主要为机泵冷却排放的含油污水、酸性废水进入酸性水汽提塔蒸汽汽提净化，不产生废水。</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 xml:space="preserve">（3）固废 </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干气制氢装置的固废主要为加氢反应器产生的废催化剂、脱硫反应器产生的废脱硫及脱氯剂、转化炉产生转化催化剂、中变反应器产生的废催化剂、PSA装置产生的固废等。</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酸性水汽提及硫磺回收装置</w:t>
      </w:r>
    </w:p>
    <w:p>
      <w:pPr>
        <w:spacing w:line="240" w:lineRule="auto"/>
        <w:ind w:firstLine="0" w:firstLineChars="0"/>
      </w:pPr>
      <w:r>
        <w:drawing>
          <wp:inline distT="0" distB="0" distL="114300" distR="114300">
            <wp:extent cx="5486400" cy="2788285"/>
            <wp:effectExtent l="0" t="0" r="0" b="12065"/>
            <wp:docPr id="3" name="图片 3" descr="QQ截图2017111410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Q截图20171114102254"/>
                    <pic:cNvPicPr>
                      <a:picLocks noChangeAspect="1"/>
                    </pic:cNvPicPr>
                  </pic:nvPicPr>
                  <pic:blipFill>
                    <a:blip r:embed="rId10"/>
                    <a:stretch>
                      <a:fillRect/>
                    </a:stretch>
                  </pic:blipFill>
                  <pic:spPr>
                    <a:xfrm>
                      <a:off x="0" y="0"/>
                      <a:ext cx="5486400" cy="2788285"/>
                    </a:xfrm>
                    <a:prstGeom prst="rect">
                      <a:avLst/>
                    </a:prstGeom>
                    <a:noFill/>
                    <a:ln w="9525">
                      <a:noFill/>
                    </a:ln>
                  </pic:spPr>
                </pic:pic>
              </a:graphicData>
            </a:graphic>
          </wp:inline>
        </w:drawing>
      </w:r>
    </w:p>
    <w:p>
      <w:pPr>
        <w:spacing w:before="120" w:beforeLines="50" w:after="120" w:afterLines="50"/>
        <w:ind w:firstLine="0" w:firstLineChars="0"/>
        <w:jc w:val="center"/>
        <w:rPr>
          <w:b/>
          <w:bCs/>
          <w:szCs w:val="24"/>
        </w:rPr>
      </w:pPr>
      <w:r>
        <w:rPr>
          <w:b/>
          <w:bCs/>
          <w:szCs w:val="24"/>
        </w:rPr>
        <w:t>图</w:t>
      </w:r>
      <w:r>
        <w:rPr>
          <w:rFonts w:hint="eastAsia"/>
          <w:b/>
          <w:bCs/>
          <w:szCs w:val="24"/>
          <w:lang w:val="en-US" w:eastAsia="zh-CN"/>
        </w:rPr>
        <w:t>3</w:t>
      </w:r>
      <w:r>
        <w:rPr>
          <w:b/>
          <w:bCs/>
          <w:szCs w:val="24"/>
        </w:rPr>
        <w:t xml:space="preserve"> </w:t>
      </w:r>
      <w:r>
        <w:rPr>
          <w:rFonts w:hint="eastAsia"/>
          <w:b/>
          <w:bCs/>
          <w:szCs w:val="24"/>
        </w:rPr>
        <w:t xml:space="preserve">  </w:t>
      </w:r>
      <w:r>
        <w:rPr>
          <w:b/>
          <w:bCs/>
          <w:szCs w:val="24"/>
        </w:rPr>
        <w:t>酸性水汽提装置工艺流程及产污环节</w:t>
      </w:r>
    </w:p>
    <w:p>
      <w:pPr>
        <w:spacing w:line="240" w:lineRule="auto"/>
        <w:ind w:firstLine="480"/>
        <w:jc w:val="center"/>
        <w:rPr>
          <w:rFonts w:eastAsia="黑体"/>
        </w:rPr>
      </w:pPr>
      <w:r>
        <w:rPr>
          <w:rFonts w:eastAsia="黑体"/>
        </w:rPr>
        <w:drawing>
          <wp:inline distT="0" distB="0" distL="114300" distR="114300">
            <wp:extent cx="5196840" cy="2127250"/>
            <wp:effectExtent l="0" t="0" r="3810" b="6350"/>
            <wp:docPr id="6" name="图片 4" descr="QQ截图2017111410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QQ截图20171114102315"/>
                    <pic:cNvPicPr>
                      <a:picLocks noChangeAspect="1"/>
                    </pic:cNvPicPr>
                  </pic:nvPicPr>
                  <pic:blipFill>
                    <a:blip r:embed="rId11"/>
                    <a:stretch>
                      <a:fillRect/>
                    </a:stretch>
                  </pic:blipFill>
                  <pic:spPr>
                    <a:xfrm>
                      <a:off x="0" y="0"/>
                      <a:ext cx="5196840" cy="2127250"/>
                    </a:xfrm>
                    <a:prstGeom prst="rect">
                      <a:avLst/>
                    </a:prstGeom>
                    <a:noFill/>
                    <a:ln w="9525">
                      <a:noFill/>
                    </a:ln>
                  </pic:spPr>
                </pic:pic>
              </a:graphicData>
            </a:graphic>
          </wp:inline>
        </w:drawing>
      </w:r>
    </w:p>
    <w:p>
      <w:pPr>
        <w:spacing w:before="120" w:beforeLines="50" w:after="120" w:afterLines="50"/>
        <w:ind w:firstLine="0" w:firstLineChars="0"/>
        <w:jc w:val="center"/>
        <w:rPr>
          <w:b/>
          <w:bCs/>
          <w:szCs w:val="24"/>
        </w:rPr>
      </w:pPr>
      <w:r>
        <w:rPr>
          <w:b/>
          <w:bCs/>
          <w:szCs w:val="24"/>
        </w:rPr>
        <w:t>图</w:t>
      </w:r>
      <w:r>
        <w:rPr>
          <w:rFonts w:hint="eastAsia"/>
          <w:b/>
          <w:bCs/>
          <w:szCs w:val="24"/>
          <w:lang w:val="en-US" w:eastAsia="zh-CN"/>
        </w:rPr>
        <w:t>4</w:t>
      </w:r>
      <w:r>
        <w:rPr>
          <w:rFonts w:hint="eastAsia"/>
          <w:b/>
          <w:bCs/>
          <w:szCs w:val="24"/>
        </w:rPr>
        <w:t xml:space="preserve">  </w:t>
      </w:r>
      <w:r>
        <w:rPr>
          <w:b/>
          <w:bCs/>
          <w:szCs w:val="24"/>
        </w:rPr>
        <w:t xml:space="preserve"> 溶剂再生部分工艺流程及产污环节</w:t>
      </w:r>
    </w:p>
    <w:p>
      <w:pPr>
        <w:ind w:firstLine="482"/>
        <w:jc w:val="center"/>
        <w:rPr>
          <w:b/>
          <w:bCs/>
          <w:szCs w:val="24"/>
        </w:rPr>
      </w:pPr>
      <w:r>
        <w:rPr>
          <w:b/>
          <w:bCs/>
          <w:szCs w:val="24"/>
        </w:rPr>
        <w:br w:type="page"/>
      </w:r>
    </w:p>
    <w:p>
      <w:pPr>
        <w:spacing w:before="120" w:beforeLines="50" w:after="120" w:afterLines="50"/>
        <w:ind w:firstLine="0" w:firstLineChars="0"/>
        <w:jc w:val="center"/>
        <w:rPr>
          <w:b/>
          <w:bCs/>
          <w:szCs w:val="24"/>
        </w:rPr>
      </w:pPr>
      <w:r>
        <w:rPr>
          <w:rFonts w:eastAsia="黑体"/>
        </w:rPr>
        <w:drawing>
          <wp:anchor distT="0" distB="0" distL="114300" distR="114300" simplePos="0" relativeHeight="251660288" behindDoc="0" locked="0" layoutInCell="1" allowOverlap="1">
            <wp:simplePos x="0" y="0"/>
            <wp:positionH relativeFrom="column">
              <wp:posOffset>60325</wp:posOffset>
            </wp:positionH>
            <wp:positionV relativeFrom="paragraph">
              <wp:posOffset>-8890</wp:posOffset>
            </wp:positionV>
            <wp:extent cx="5210175" cy="5062855"/>
            <wp:effectExtent l="0" t="0" r="9525" b="4445"/>
            <wp:wrapNone/>
            <wp:docPr id="7" name="图片 2" descr="QQ截图2017111410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QQ截图20171114102415"/>
                    <pic:cNvPicPr>
                      <a:picLocks noChangeAspect="1"/>
                    </pic:cNvPicPr>
                  </pic:nvPicPr>
                  <pic:blipFill>
                    <a:blip r:embed="rId12"/>
                    <a:srcRect r="1563"/>
                    <a:stretch>
                      <a:fillRect/>
                    </a:stretch>
                  </pic:blipFill>
                  <pic:spPr>
                    <a:xfrm>
                      <a:off x="0" y="0"/>
                      <a:ext cx="5210175" cy="5062855"/>
                    </a:xfrm>
                    <a:prstGeom prst="rect">
                      <a:avLst/>
                    </a:prstGeom>
                    <a:noFill/>
                    <a:ln w="9525">
                      <a:noFill/>
                    </a:ln>
                  </pic:spPr>
                </pic:pic>
              </a:graphicData>
            </a:graphic>
          </wp:anchor>
        </w:drawing>
      </w: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p>
    <w:p>
      <w:pPr>
        <w:spacing w:before="120" w:beforeLines="50" w:after="120" w:afterLines="50"/>
        <w:ind w:firstLine="0" w:firstLineChars="0"/>
        <w:jc w:val="center"/>
        <w:rPr>
          <w:b/>
          <w:bCs/>
          <w:szCs w:val="24"/>
        </w:rPr>
      </w:pPr>
      <w:r>
        <w:rPr>
          <w:b/>
          <w:bCs/>
          <w:szCs w:val="24"/>
        </w:rPr>
        <w:t>图</w:t>
      </w:r>
      <w:r>
        <w:rPr>
          <w:rFonts w:hint="eastAsia"/>
          <w:b/>
          <w:bCs/>
          <w:szCs w:val="24"/>
          <w:lang w:val="en-US" w:eastAsia="zh-CN"/>
        </w:rPr>
        <w:t>5</w:t>
      </w:r>
      <w:r>
        <w:rPr>
          <w:b/>
          <w:bCs/>
          <w:szCs w:val="24"/>
        </w:rPr>
        <w:t xml:space="preserve"> </w:t>
      </w:r>
      <w:r>
        <w:rPr>
          <w:rFonts w:hint="eastAsia"/>
          <w:b/>
          <w:bCs/>
          <w:szCs w:val="24"/>
        </w:rPr>
        <w:t xml:space="preserve">  </w:t>
      </w:r>
      <w:r>
        <w:rPr>
          <w:b/>
          <w:bCs/>
          <w:szCs w:val="24"/>
        </w:rPr>
        <w:t>硫磺回收及尾气处理工艺流程及产污环节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pPr>
      <w:r>
        <w:t>（1）废气</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pPr>
      <w:r>
        <w:t>废气主要为酸性水汽提及硫磺回收装置区域内无组织酸性气，硫磺回收装置排放的废气为尾气焚烧炉烟气。</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pPr>
      <w:r>
        <w:t>（2）废水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color w:val="000000"/>
        </w:rPr>
      </w:pPr>
      <w:r>
        <w:rPr>
          <w:color w:val="000000"/>
        </w:rPr>
        <w:t>硫磺回收装置产生的废水主要为酸性水汽提净化水、含油污水。净化水来自酸性水汽提后脱硫的净化水，一部分回用于电脱盐部分，其余含油污水还包括硫磺回收装置及溶剂再生装置机泵冷却及地面冲水，排至污水处理站处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color w:val="000000"/>
        </w:rPr>
      </w:pPr>
      <w:r>
        <w:rPr>
          <w:color w:val="000000"/>
        </w:rPr>
        <w:t>（3）固废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pPr>
      <w:r>
        <w:t>本装置产生的固体废物主要为：加氢反应器产生的废催化剂、制硫反应器产生的废催化剂。</w:t>
      </w:r>
    </w:p>
    <w:bookmarkEnd w:id="17"/>
    <w:bookmarkEnd w:id="18"/>
    <w:p>
      <w:pPr>
        <w:pStyle w:val="3"/>
      </w:pPr>
      <w:r>
        <w:t>3.4  项目变动情况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zh-CN" w:eastAsia="zh-CN"/>
        </w:rPr>
        <w:t>项目变动情况见表</w:t>
      </w:r>
      <w:r>
        <w:rPr>
          <w:rFonts w:hint="eastAsia" w:asciiTheme="minorEastAsia" w:hAnsiTheme="minorEastAsia" w:eastAsiaTheme="minorEastAsia" w:cstheme="minorEastAsia"/>
          <w:sz w:val="24"/>
          <w:szCs w:val="24"/>
          <w:lang w:val="en-US" w:eastAsia="zh-CN"/>
        </w:rPr>
        <w:t>3。</w:t>
      </w:r>
    </w:p>
    <w:p>
      <w:pPr>
        <w:pStyle w:val="12"/>
        <w:spacing w:after="120" w:afterLines="50"/>
        <w:ind w:firstLine="0" w:firstLineChars="0"/>
        <w:rPr>
          <w:szCs w:val="24"/>
        </w:rPr>
      </w:pPr>
      <w:r>
        <w:rPr>
          <w:szCs w:val="24"/>
        </w:rPr>
        <w:t>表</w:t>
      </w:r>
      <w:r>
        <w:rPr>
          <w:rFonts w:hint="eastAsia"/>
          <w:szCs w:val="24"/>
          <w:lang w:val="en-US" w:eastAsia="zh-CN"/>
        </w:rPr>
        <w:t>3</w:t>
      </w:r>
      <w:r>
        <w:rPr>
          <w:szCs w:val="24"/>
        </w:rPr>
        <w:t xml:space="preserve">   项目主要建设内容与环评设计要求及实际建设情况表</w:t>
      </w:r>
    </w:p>
    <w:tbl>
      <w:tblPr>
        <w:tblStyle w:val="10"/>
        <w:tblW w:w="8620" w:type="dxa"/>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98"/>
        <w:gridCol w:w="474"/>
        <w:gridCol w:w="2190"/>
        <w:gridCol w:w="2502"/>
        <w:gridCol w:w="2956"/>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498" w:type="dxa"/>
            <w:vAlign w:val="center"/>
          </w:tcPr>
          <w:p>
            <w:pPr>
              <w:pStyle w:val="13"/>
              <w:spacing w:line="240" w:lineRule="auto"/>
              <w:rPr>
                <w:b/>
                <w:bCs/>
                <w:szCs w:val="21"/>
              </w:rPr>
            </w:pPr>
            <w:r>
              <w:rPr>
                <w:b/>
                <w:bCs/>
                <w:szCs w:val="21"/>
              </w:rPr>
              <w:t>类别</w:t>
            </w:r>
          </w:p>
        </w:tc>
        <w:tc>
          <w:tcPr>
            <w:tcW w:w="2664" w:type="dxa"/>
            <w:gridSpan w:val="2"/>
            <w:vAlign w:val="center"/>
          </w:tcPr>
          <w:p>
            <w:pPr>
              <w:pStyle w:val="13"/>
              <w:spacing w:line="240" w:lineRule="auto"/>
              <w:rPr>
                <w:b/>
                <w:bCs/>
                <w:szCs w:val="21"/>
              </w:rPr>
            </w:pPr>
            <w:r>
              <w:rPr>
                <w:b/>
                <w:bCs/>
                <w:szCs w:val="21"/>
              </w:rPr>
              <w:t>环评及批复要求</w:t>
            </w:r>
          </w:p>
        </w:tc>
        <w:tc>
          <w:tcPr>
            <w:tcW w:w="2502" w:type="dxa"/>
            <w:vAlign w:val="center"/>
          </w:tcPr>
          <w:p>
            <w:pPr>
              <w:pStyle w:val="13"/>
              <w:spacing w:line="240" w:lineRule="auto"/>
              <w:rPr>
                <w:b/>
                <w:bCs/>
                <w:szCs w:val="21"/>
              </w:rPr>
            </w:pPr>
            <w:r>
              <w:rPr>
                <w:b/>
                <w:bCs/>
                <w:szCs w:val="21"/>
              </w:rPr>
              <w:t>实际建设情况</w:t>
            </w:r>
          </w:p>
        </w:tc>
        <w:tc>
          <w:tcPr>
            <w:tcW w:w="2956" w:type="dxa"/>
            <w:vAlign w:val="center"/>
          </w:tcPr>
          <w:p>
            <w:pPr>
              <w:pStyle w:val="13"/>
              <w:spacing w:line="240" w:lineRule="auto"/>
              <w:rPr>
                <w:rFonts w:hint="eastAsia" w:eastAsia="宋体"/>
                <w:b/>
                <w:bCs/>
                <w:szCs w:val="21"/>
                <w:lang w:eastAsia="zh-CN"/>
              </w:rPr>
            </w:pPr>
            <w:r>
              <w:rPr>
                <w:rFonts w:hint="eastAsia"/>
                <w:b/>
                <w:bCs/>
                <w:szCs w:val="21"/>
                <w:lang w:eastAsia="zh-CN"/>
              </w:rPr>
              <w:t>原因及说明</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8" w:type="dxa"/>
            <w:vMerge w:val="restart"/>
            <w:vAlign w:val="center"/>
          </w:tcPr>
          <w:p>
            <w:pPr>
              <w:pStyle w:val="12"/>
              <w:ind w:firstLine="0" w:firstLineChars="0"/>
              <w:rPr>
                <w:b w:val="0"/>
                <w:color w:val="000000"/>
                <w:kern w:val="2"/>
                <w:sz w:val="21"/>
                <w:szCs w:val="21"/>
              </w:rPr>
            </w:pPr>
            <w:r>
              <w:rPr>
                <w:b w:val="0"/>
                <w:color w:val="000000"/>
                <w:kern w:val="2"/>
                <w:sz w:val="21"/>
                <w:szCs w:val="21"/>
              </w:rPr>
              <w:t>辅助及公用工程</w:t>
            </w:r>
          </w:p>
        </w:tc>
        <w:tc>
          <w:tcPr>
            <w:tcW w:w="474" w:type="dxa"/>
            <w:tcBorders>
              <w:bottom w:val="single" w:color="auto" w:sz="4" w:space="0"/>
            </w:tcBorders>
            <w:vAlign w:val="center"/>
          </w:tcPr>
          <w:p>
            <w:pPr>
              <w:pStyle w:val="14"/>
              <w:widowControl w:val="0"/>
              <w:autoSpaceDE/>
              <w:autoSpaceDN/>
              <w:spacing w:line="240" w:lineRule="auto"/>
              <w:ind w:firstLine="0" w:firstLineChars="0"/>
              <w:textAlignment w:val="auto"/>
              <w:rPr>
                <w:rFonts w:ascii="Times New Roman" w:hAnsi="Times New Roman" w:eastAsia="宋体"/>
                <w:kern w:val="2"/>
                <w:sz w:val="21"/>
                <w:szCs w:val="21"/>
              </w:rPr>
            </w:pPr>
            <w:r>
              <w:rPr>
                <w:rFonts w:ascii="Times New Roman" w:hAnsi="Times New Roman" w:eastAsia="宋体"/>
                <w:kern w:val="2"/>
                <w:sz w:val="21"/>
                <w:szCs w:val="21"/>
              </w:rPr>
              <w:t>凝结水站</w:t>
            </w:r>
          </w:p>
        </w:tc>
        <w:tc>
          <w:tcPr>
            <w:tcW w:w="2190" w:type="dxa"/>
            <w:tcBorders>
              <w:bottom w:val="single" w:color="auto" w:sz="4" w:space="0"/>
            </w:tcBorders>
            <w:vAlign w:val="center"/>
          </w:tcPr>
          <w:p>
            <w:pPr>
              <w:pStyle w:val="14"/>
              <w:widowControl w:val="0"/>
              <w:ind w:firstLine="0" w:firstLineChars="0"/>
              <w:rPr>
                <w:rFonts w:ascii="Times New Roman" w:hAnsi="Times New Roman" w:eastAsia="宋体"/>
                <w:kern w:val="2"/>
                <w:sz w:val="21"/>
                <w:szCs w:val="21"/>
              </w:rPr>
            </w:pPr>
            <w:r>
              <w:rPr>
                <w:rFonts w:ascii="Times New Roman" w:hAnsi="Times New Roman" w:eastAsia="宋体"/>
                <w:kern w:val="2"/>
                <w:sz w:val="21"/>
                <w:szCs w:val="21"/>
              </w:rPr>
              <w:t>装置凝结水处理能力150 m</w:t>
            </w:r>
            <w:r>
              <w:rPr>
                <w:rFonts w:ascii="Times New Roman" w:hAnsi="Times New Roman" w:eastAsia="宋体"/>
                <w:kern w:val="2"/>
                <w:sz w:val="21"/>
                <w:szCs w:val="21"/>
                <w:vertAlign w:val="superscript"/>
              </w:rPr>
              <w:t>3</w:t>
            </w:r>
            <w:r>
              <w:rPr>
                <w:rFonts w:ascii="Times New Roman" w:hAnsi="Times New Roman" w:eastAsia="宋体"/>
                <w:kern w:val="2"/>
                <w:sz w:val="21"/>
                <w:szCs w:val="21"/>
              </w:rPr>
              <w:t>/h</w:t>
            </w:r>
          </w:p>
        </w:tc>
        <w:tc>
          <w:tcPr>
            <w:tcW w:w="2502" w:type="dxa"/>
            <w:vAlign w:val="center"/>
          </w:tcPr>
          <w:p>
            <w:pPr>
              <w:pStyle w:val="14"/>
              <w:widowControl w:val="0"/>
              <w:ind w:firstLine="0" w:firstLineChars="0"/>
              <w:jc w:val="both"/>
              <w:rPr>
                <w:rFonts w:ascii="Times New Roman" w:hAnsi="Times New Roman"/>
                <w:kern w:val="2"/>
                <w:sz w:val="21"/>
                <w:szCs w:val="21"/>
              </w:rPr>
            </w:pPr>
            <w:r>
              <w:rPr>
                <w:rFonts w:ascii="Times New Roman" w:hAnsi="Times New Roman" w:eastAsia="宋体"/>
                <w:kern w:val="2"/>
                <w:sz w:val="21"/>
                <w:szCs w:val="24"/>
              </w:rPr>
              <w:t>建设规模为80t/h的凝结水站</w:t>
            </w:r>
          </w:p>
        </w:tc>
        <w:tc>
          <w:tcPr>
            <w:tcW w:w="2956" w:type="dxa"/>
            <w:vAlign w:val="center"/>
          </w:tcPr>
          <w:p>
            <w:pPr>
              <w:pStyle w:val="14"/>
              <w:widowControl w:val="0"/>
              <w:ind w:firstLine="0" w:firstLineChars="0"/>
              <w:rPr>
                <w:rFonts w:ascii="Times New Roman" w:hAnsi="Times New Roman" w:eastAsia="宋体"/>
                <w:kern w:val="2"/>
                <w:sz w:val="21"/>
                <w:szCs w:val="21"/>
              </w:rPr>
            </w:pPr>
            <w:r>
              <w:rPr>
                <w:rFonts w:ascii="Times New Roman" w:hAnsi="Times New Roman" w:eastAsia="宋体"/>
                <w:kern w:val="2"/>
                <w:sz w:val="21"/>
                <w:szCs w:val="21"/>
              </w:rPr>
              <w:t>三个项目可研为150t/h</w:t>
            </w:r>
            <w:r>
              <w:rPr>
                <w:rFonts w:hint="eastAsia" w:ascii="Times New Roman" w:hAnsi="Times New Roman" w:eastAsia="宋体"/>
                <w:kern w:val="2"/>
                <w:sz w:val="21"/>
                <w:szCs w:val="21"/>
              </w:rPr>
              <w:t>，</w:t>
            </w:r>
            <w:r>
              <w:rPr>
                <w:rFonts w:ascii="Times New Roman" w:hAnsi="Times New Roman" w:eastAsia="宋体"/>
                <w:kern w:val="2"/>
                <w:sz w:val="21"/>
                <w:szCs w:val="21"/>
              </w:rPr>
              <w:t>而10万吨丙烯及联产芳烃安全设施设计专篇、凝结水站设计说明书均为80t/h；在详细设计过程中</w:t>
            </w:r>
            <w:r>
              <w:rPr>
                <w:rFonts w:hint="eastAsia" w:ascii="Times New Roman" w:hAnsi="Times New Roman" w:eastAsia="宋体"/>
                <w:kern w:val="2"/>
                <w:sz w:val="21"/>
                <w:szCs w:val="21"/>
              </w:rPr>
              <w:t>依据实际情况将</w:t>
            </w:r>
            <w:r>
              <w:rPr>
                <w:rFonts w:ascii="Times New Roman" w:hAnsi="Times New Roman" w:eastAsia="宋体"/>
                <w:kern w:val="2"/>
                <w:sz w:val="21"/>
                <w:szCs w:val="21"/>
              </w:rPr>
              <w:t>凝结水站的规模由150t/h调整为80t/h，即实际建设80t/h。</w:t>
            </w:r>
            <w:r>
              <w:rPr>
                <w:rFonts w:hint="eastAsia" w:ascii="Times New Roman" w:hAnsi="Times New Roman" w:eastAsia="宋体"/>
                <w:kern w:val="2"/>
                <w:sz w:val="21"/>
                <w:szCs w:val="21"/>
              </w:rPr>
              <w:t>不属于重大变更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8" w:type="dxa"/>
            <w:vMerge w:val="continue"/>
            <w:vAlign w:val="center"/>
          </w:tcPr>
          <w:p>
            <w:pPr>
              <w:pStyle w:val="12"/>
              <w:ind w:firstLine="0" w:firstLineChars="0"/>
              <w:rPr>
                <w:color w:val="000000"/>
              </w:rPr>
            </w:pPr>
          </w:p>
        </w:tc>
        <w:tc>
          <w:tcPr>
            <w:tcW w:w="474" w:type="dxa"/>
            <w:tcBorders>
              <w:top w:val="single" w:color="auto" w:sz="4" w:space="0"/>
              <w:bottom w:val="single" w:color="auto" w:sz="4" w:space="0"/>
            </w:tcBorders>
            <w:vAlign w:val="center"/>
          </w:tcPr>
          <w:p>
            <w:pPr>
              <w:pStyle w:val="14"/>
              <w:widowControl w:val="0"/>
              <w:autoSpaceDE/>
              <w:autoSpaceDN/>
              <w:spacing w:line="240" w:lineRule="auto"/>
              <w:ind w:firstLine="0" w:firstLineChars="0"/>
              <w:textAlignment w:val="auto"/>
              <w:rPr>
                <w:rFonts w:ascii="Times New Roman" w:hAnsi="Times New Roman" w:eastAsia="宋体"/>
                <w:color w:val="000000"/>
                <w:kern w:val="2"/>
                <w:sz w:val="21"/>
                <w:szCs w:val="21"/>
              </w:rPr>
            </w:pPr>
            <w:r>
              <w:rPr>
                <w:rFonts w:ascii="Times New Roman" w:hAnsi="Times New Roman" w:eastAsia="宋体"/>
                <w:kern w:val="2"/>
                <w:sz w:val="21"/>
                <w:szCs w:val="21"/>
              </w:rPr>
              <w:t>空压站</w:t>
            </w:r>
          </w:p>
        </w:tc>
        <w:tc>
          <w:tcPr>
            <w:tcW w:w="2190" w:type="dxa"/>
            <w:tcBorders>
              <w:top w:val="single" w:color="auto" w:sz="4" w:space="0"/>
              <w:bottom w:val="single" w:color="auto" w:sz="4" w:space="0"/>
            </w:tcBorders>
            <w:vAlign w:val="center"/>
          </w:tcPr>
          <w:p>
            <w:pPr>
              <w:pStyle w:val="14"/>
              <w:widowControl w:val="0"/>
              <w:autoSpaceDE/>
              <w:autoSpaceDN/>
              <w:spacing w:line="240" w:lineRule="auto"/>
              <w:ind w:firstLine="0" w:firstLineChars="0"/>
              <w:textAlignment w:val="auto"/>
              <w:rPr>
                <w:rFonts w:ascii="Times New Roman" w:hAnsi="Times New Roman" w:eastAsia="宋体"/>
                <w:kern w:val="2"/>
                <w:sz w:val="21"/>
                <w:szCs w:val="21"/>
              </w:rPr>
            </w:pPr>
            <w:r>
              <w:rPr>
                <w:rFonts w:ascii="Times New Roman" w:hAnsi="Times New Roman" w:eastAsia="宋体"/>
                <w:kern w:val="2"/>
                <w:sz w:val="21"/>
                <w:szCs w:val="21"/>
              </w:rPr>
              <w:t>150 Nm</w:t>
            </w:r>
            <w:r>
              <w:rPr>
                <w:rFonts w:ascii="Times New Roman" w:hAnsi="Times New Roman" w:eastAsia="宋体"/>
                <w:kern w:val="2"/>
                <w:sz w:val="21"/>
                <w:szCs w:val="21"/>
                <w:vertAlign w:val="superscript"/>
              </w:rPr>
              <w:t>3</w:t>
            </w:r>
            <w:r>
              <w:rPr>
                <w:rFonts w:ascii="Times New Roman" w:hAnsi="Times New Roman" w:eastAsia="宋体"/>
                <w:kern w:val="2"/>
                <w:sz w:val="21"/>
                <w:szCs w:val="21"/>
              </w:rPr>
              <w:t>/min、0.85MPaG离心式压缩机3台，开2备1，总压空气负荷（含制氮）88.6Nm</w:t>
            </w:r>
            <w:r>
              <w:rPr>
                <w:rFonts w:ascii="Times New Roman" w:hAnsi="Times New Roman" w:eastAsia="宋体"/>
                <w:kern w:val="2"/>
                <w:sz w:val="21"/>
                <w:szCs w:val="21"/>
                <w:vertAlign w:val="superscript"/>
              </w:rPr>
              <w:t>3</w:t>
            </w:r>
            <w:r>
              <w:rPr>
                <w:rFonts w:ascii="Times New Roman" w:hAnsi="Times New Roman" w:eastAsia="宋体"/>
                <w:kern w:val="2"/>
                <w:sz w:val="21"/>
                <w:szCs w:val="21"/>
              </w:rPr>
              <w:t>/min，间断最大负荷188.27 Nm</w:t>
            </w:r>
            <w:r>
              <w:rPr>
                <w:rFonts w:ascii="Times New Roman" w:hAnsi="Times New Roman" w:eastAsia="宋体"/>
                <w:kern w:val="2"/>
                <w:sz w:val="21"/>
                <w:szCs w:val="21"/>
                <w:vertAlign w:val="superscript"/>
              </w:rPr>
              <w:t>3</w:t>
            </w:r>
            <w:r>
              <w:rPr>
                <w:rFonts w:ascii="Times New Roman" w:hAnsi="Times New Roman" w:eastAsia="宋体"/>
                <w:kern w:val="2"/>
                <w:sz w:val="21"/>
                <w:szCs w:val="21"/>
              </w:rPr>
              <w:t>/min</w:t>
            </w:r>
          </w:p>
        </w:tc>
        <w:tc>
          <w:tcPr>
            <w:tcW w:w="2502" w:type="dxa"/>
            <w:vAlign w:val="center"/>
          </w:tcPr>
          <w:p>
            <w:pPr>
              <w:pStyle w:val="8"/>
              <w:widowControl w:val="0"/>
              <w:spacing w:before="0" w:beforeAutospacing="0" w:after="0" w:afterAutospacing="0" w:line="240" w:lineRule="exact"/>
              <w:ind w:firstLine="0" w:firstLineChars="0"/>
              <w:jc w:val="center"/>
              <w:rPr>
                <w:rFonts w:ascii="Times New Roman" w:hAnsi="Times New Roman"/>
              </w:rPr>
            </w:pPr>
            <w:r>
              <w:rPr>
                <w:rFonts w:ascii="Times New Roman" w:hAnsi="Times New Roman"/>
                <w:kern w:val="2"/>
                <w:sz w:val="21"/>
                <w:szCs w:val="21"/>
              </w:rPr>
              <w:t>建设规模为三台150m</w:t>
            </w:r>
            <w:r>
              <w:rPr>
                <w:rFonts w:ascii="Times New Roman" w:hAnsi="Times New Roman"/>
                <w:kern w:val="2"/>
                <w:sz w:val="21"/>
                <w:szCs w:val="21"/>
                <w:vertAlign w:val="superscript"/>
              </w:rPr>
              <w:t>3</w:t>
            </w:r>
            <w:r>
              <w:rPr>
                <w:rFonts w:ascii="Times New Roman" w:hAnsi="Times New Roman"/>
                <w:kern w:val="2"/>
                <w:sz w:val="21"/>
                <w:szCs w:val="21"/>
              </w:rPr>
              <w:t>/min、0.8MPa(A)空气压缩机，二套 120Nm</w:t>
            </w:r>
            <w:r>
              <w:rPr>
                <w:rFonts w:ascii="Times New Roman" w:hAnsi="Times New Roman"/>
                <w:kern w:val="2"/>
                <w:sz w:val="21"/>
                <w:szCs w:val="21"/>
                <w:vertAlign w:val="superscript"/>
              </w:rPr>
              <w:t>3</w:t>
            </w:r>
            <w:r>
              <w:rPr>
                <w:rFonts w:ascii="Times New Roman" w:hAnsi="Times New Roman"/>
                <w:kern w:val="2"/>
                <w:sz w:val="21"/>
                <w:szCs w:val="21"/>
              </w:rPr>
              <w:t xml:space="preserve"> /min 微热再生空气干燥装置和二套 500Nm</w:t>
            </w:r>
            <w:r>
              <w:rPr>
                <w:rFonts w:ascii="Times New Roman" w:hAnsi="Times New Roman"/>
                <w:kern w:val="2"/>
                <w:sz w:val="21"/>
                <w:szCs w:val="21"/>
                <w:vertAlign w:val="superscript"/>
              </w:rPr>
              <w:t>3</w:t>
            </w:r>
            <w:r>
              <w:rPr>
                <w:rFonts w:ascii="Times New Roman" w:hAnsi="Times New Roman"/>
                <w:kern w:val="2"/>
                <w:sz w:val="21"/>
                <w:szCs w:val="21"/>
              </w:rPr>
              <w:t xml:space="preserve"> /hPSA 制氮机</w:t>
            </w:r>
          </w:p>
        </w:tc>
        <w:tc>
          <w:tcPr>
            <w:tcW w:w="2956" w:type="dxa"/>
            <w:vAlign w:val="center"/>
          </w:tcPr>
          <w:p>
            <w:pPr>
              <w:pStyle w:val="14"/>
              <w:widowControl w:val="0"/>
              <w:ind w:firstLine="0" w:firstLineChars="0"/>
              <w:rPr>
                <w:rFonts w:ascii="Times New Roman" w:hAnsi="Times New Roman" w:eastAsia="宋体"/>
                <w:kern w:val="2"/>
                <w:sz w:val="21"/>
                <w:szCs w:val="21"/>
              </w:rPr>
            </w:pPr>
            <w:r>
              <w:rPr>
                <w:rFonts w:ascii="Times New Roman" w:hAnsi="Times New Roman" w:eastAsia="宋体"/>
                <w:kern w:val="2"/>
                <w:sz w:val="21"/>
                <w:szCs w:val="21"/>
              </w:rPr>
              <w:t>环评及可研设计为0.85MPaG，实际为0.8MPaG，</w:t>
            </w:r>
            <w:r>
              <w:rPr>
                <w:rFonts w:hint="eastAsia" w:ascii="Times New Roman" w:hAnsi="Times New Roman" w:eastAsia="宋体"/>
                <w:kern w:val="2"/>
                <w:sz w:val="21"/>
                <w:szCs w:val="21"/>
              </w:rPr>
              <w:t>参数调整不属于重大变更</w:t>
            </w:r>
            <w:r>
              <w:rPr>
                <w:rFonts w:ascii="Times New Roman" w:hAnsi="Times New Roman" w:eastAsia="宋体"/>
                <w:kern w:val="2"/>
                <w:sz w:val="21"/>
                <w:szCs w:val="21"/>
              </w:rPr>
              <w: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8" w:type="dxa"/>
            <w:vMerge w:val="continue"/>
            <w:vAlign w:val="center"/>
          </w:tcPr>
          <w:p>
            <w:pPr>
              <w:pStyle w:val="12"/>
              <w:ind w:firstLine="0" w:firstLineChars="0"/>
              <w:rPr>
                <w:color w:val="000000"/>
              </w:rPr>
            </w:pPr>
          </w:p>
        </w:tc>
        <w:tc>
          <w:tcPr>
            <w:tcW w:w="474" w:type="dxa"/>
            <w:tcBorders>
              <w:top w:val="single" w:color="auto" w:sz="4" w:space="0"/>
            </w:tcBorders>
            <w:vAlign w:val="center"/>
          </w:tcPr>
          <w:p>
            <w:pPr>
              <w:pStyle w:val="14"/>
              <w:widowControl w:val="0"/>
              <w:autoSpaceDE/>
              <w:autoSpaceDN/>
              <w:spacing w:line="240" w:lineRule="auto"/>
              <w:ind w:firstLine="0" w:firstLineChars="0"/>
              <w:textAlignment w:val="auto"/>
              <w:rPr>
                <w:rFonts w:ascii="Times New Roman" w:hAnsi="Times New Roman" w:eastAsia="宋体"/>
                <w:color w:val="000000"/>
                <w:kern w:val="2"/>
                <w:sz w:val="21"/>
                <w:szCs w:val="21"/>
              </w:rPr>
            </w:pPr>
            <w:r>
              <w:rPr>
                <w:rFonts w:ascii="Times New Roman" w:hAnsi="Times New Roman" w:eastAsia="宋体"/>
                <w:kern w:val="2"/>
                <w:sz w:val="21"/>
                <w:szCs w:val="21"/>
              </w:rPr>
              <w:t>供热</w:t>
            </w:r>
          </w:p>
        </w:tc>
        <w:tc>
          <w:tcPr>
            <w:tcW w:w="2190" w:type="dxa"/>
            <w:tcBorders>
              <w:top w:val="single" w:color="auto" w:sz="4" w:space="0"/>
            </w:tcBorders>
            <w:vAlign w:val="center"/>
          </w:tcPr>
          <w:p>
            <w:pPr>
              <w:pStyle w:val="14"/>
              <w:widowControl w:val="0"/>
              <w:autoSpaceDE/>
              <w:autoSpaceDN/>
              <w:spacing w:line="240" w:lineRule="auto"/>
              <w:ind w:firstLine="0" w:firstLineChars="0"/>
              <w:textAlignment w:val="auto"/>
              <w:rPr>
                <w:rFonts w:ascii="Times New Roman" w:hAnsi="Times New Roman" w:eastAsia="宋体"/>
                <w:kern w:val="2"/>
                <w:sz w:val="21"/>
                <w:szCs w:val="21"/>
              </w:rPr>
            </w:pPr>
            <w:r>
              <w:rPr>
                <w:rFonts w:ascii="Times New Roman" w:hAnsi="Times New Roman" w:eastAsia="宋体"/>
                <w:color w:val="auto"/>
                <w:spacing w:val="-10"/>
                <w:kern w:val="2"/>
                <w:sz w:val="21"/>
                <w:szCs w:val="21"/>
              </w:rPr>
              <w:t>新建动力站一座，包括45t/h燃气中压开工锅炉1台，以裂解气作为燃料；正常生产时动力站所产蒸汽和装置富余蒸汽外送，配套的蒸汽管网及热力管网</w:t>
            </w:r>
          </w:p>
        </w:tc>
        <w:tc>
          <w:tcPr>
            <w:tcW w:w="2502" w:type="dxa"/>
            <w:vAlign w:val="center"/>
          </w:tcPr>
          <w:p>
            <w:pPr>
              <w:pStyle w:val="8"/>
              <w:widowControl w:val="0"/>
              <w:spacing w:before="0" w:beforeAutospacing="0" w:after="0" w:afterAutospacing="0" w:line="240" w:lineRule="exact"/>
              <w:ind w:firstLine="0" w:firstLineChars="0"/>
              <w:jc w:val="center"/>
              <w:rPr>
                <w:rFonts w:ascii="Times New Roman" w:hAnsi="Times New Roman"/>
                <w:kern w:val="2"/>
                <w:sz w:val="21"/>
                <w:szCs w:val="21"/>
              </w:rPr>
            </w:pPr>
            <w:r>
              <w:rPr>
                <w:rFonts w:hint="eastAsia" w:ascii="Times New Roman" w:hAnsi="Times New Roman"/>
                <w:kern w:val="2"/>
                <w:sz w:val="21"/>
                <w:szCs w:val="21"/>
              </w:rPr>
              <w:t>65</w:t>
            </w:r>
            <w:r>
              <w:rPr>
                <w:rFonts w:ascii="Times New Roman" w:hAnsi="Times New Roman"/>
                <w:kern w:val="2"/>
                <w:sz w:val="21"/>
                <w:szCs w:val="21"/>
              </w:rPr>
              <w:t>t/h燃气中压开工锅炉1台</w:t>
            </w:r>
          </w:p>
        </w:tc>
        <w:tc>
          <w:tcPr>
            <w:tcW w:w="2956" w:type="dxa"/>
            <w:vAlign w:val="center"/>
          </w:tcPr>
          <w:p>
            <w:pPr>
              <w:pStyle w:val="8"/>
              <w:widowControl w:val="0"/>
              <w:spacing w:before="0" w:beforeAutospacing="0" w:after="0" w:afterAutospacing="0" w:line="240" w:lineRule="exact"/>
              <w:ind w:firstLine="0" w:firstLineChars="0"/>
              <w:jc w:val="center"/>
              <w:rPr>
                <w:rFonts w:ascii="Times New Roman" w:hAnsi="Times New Roman"/>
                <w:kern w:val="2"/>
                <w:sz w:val="21"/>
                <w:szCs w:val="21"/>
              </w:rPr>
            </w:pPr>
            <w:r>
              <w:rPr>
                <w:rFonts w:ascii="Times New Roman" w:hAnsi="Times New Roman"/>
                <w:kern w:val="2"/>
                <w:sz w:val="21"/>
                <w:szCs w:val="21"/>
              </w:rPr>
              <w:t>全厂设置动力站一座，包括包括</w:t>
            </w:r>
            <w:r>
              <w:rPr>
                <w:rFonts w:hint="eastAsia" w:ascii="Times New Roman" w:hAnsi="Times New Roman"/>
                <w:kern w:val="2"/>
                <w:sz w:val="21"/>
                <w:szCs w:val="21"/>
              </w:rPr>
              <w:t>65</w:t>
            </w:r>
            <w:r>
              <w:rPr>
                <w:rFonts w:ascii="Times New Roman" w:hAnsi="Times New Roman"/>
                <w:kern w:val="2"/>
                <w:sz w:val="21"/>
                <w:szCs w:val="21"/>
              </w:rPr>
              <w:t>t/h燃气中压开工锅炉1台，以脱硫燃料气作为燃料，锅炉用于工厂开工，正常生产时的产气外送</w:t>
            </w:r>
            <w:r>
              <w:rPr>
                <w:rFonts w:hint="eastAsia" w:ascii="Times New Roman" w:hAnsi="Times New Roman"/>
                <w:kern w:val="2"/>
                <w:sz w:val="21"/>
                <w:szCs w:val="21"/>
              </w:rPr>
              <w:t>。依据河南省化工研究所有限责任公司编制的《</w:t>
            </w:r>
            <w:r>
              <w:rPr>
                <w:rFonts w:ascii="Times New Roman" w:hAnsi="Times New Roman"/>
                <w:kern w:val="2"/>
                <w:sz w:val="21"/>
                <w:szCs w:val="21"/>
              </w:rPr>
              <w:t>河南丰利石化有限公司10 万盹/年丙烯及联产芳短工程项目及60 万盹/年中芳炬加氢改质工程 变动环境影响分析报告</w:t>
            </w:r>
            <w:r>
              <w:rPr>
                <w:rFonts w:hint="eastAsia" w:ascii="Times New Roman" w:hAnsi="Times New Roman"/>
                <w:kern w:val="2"/>
                <w:sz w:val="21"/>
                <w:szCs w:val="21"/>
              </w:rPr>
              <w:t>》，方案可行不属于重大变更。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8" w:type="dxa"/>
            <w:vAlign w:val="center"/>
          </w:tcPr>
          <w:p>
            <w:pPr>
              <w:pStyle w:val="13"/>
              <w:spacing w:line="240" w:lineRule="auto"/>
              <w:rPr>
                <w:color w:val="auto"/>
                <w:szCs w:val="21"/>
              </w:rPr>
            </w:pPr>
            <w:r>
              <w:rPr>
                <w:color w:val="auto"/>
                <w:szCs w:val="21"/>
              </w:rPr>
              <w:t>储运工程</w:t>
            </w:r>
          </w:p>
        </w:tc>
        <w:tc>
          <w:tcPr>
            <w:tcW w:w="474" w:type="dxa"/>
            <w:vAlign w:val="center"/>
          </w:tcPr>
          <w:p>
            <w:pPr>
              <w:pStyle w:val="13"/>
              <w:spacing w:line="240" w:lineRule="auto"/>
              <w:rPr>
                <w:color w:val="auto"/>
                <w:szCs w:val="21"/>
              </w:rPr>
            </w:pPr>
            <w:r>
              <w:rPr>
                <w:color w:val="auto"/>
                <w:szCs w:val="21"/>
              </w:rPr>
              <w:t>罐区</w:t>
            </w:r>
          </w:p>
        </w:tc>
        <w:tc>
          <w:tcPr>
            <w:tcW w:w="2190" w:type="dxa"/>
            <w:vAlign w:val="center"/>
          </w:tcPr>
          <w:p>
            <w:pPr>
              <w:pStyle w:val="14"/>
              <w:widowControl w:val="0"/>
              <w:spacing w:line="240" w:lineRule="auto"/>
              <w:ind w:firstLine="0" w:firstLineChars="0"/>
              <w:jc w:val="both"/>
              <w:rPr>
                <w:rFonts w:ascii="Times New Roman" w:hAnsi="Times New Roman"/>
                <w:kern w:val="2"/>
                <w:sz w:val="21"/>
                <w:szCs w:val="21"/>
              </w:rPr>
            </w:pPr>
            <w:r>
              <w:rPr>
                <w:rFonts w:ascii="Times New Roman" w:hAnsi="Times New Roman" w:eastAsia="宋体"/>
                <w:kern w:val="2"/>
                <w:sz w:val="21"/>
                <w:szCs w:val="21"/>
              </w:rPr>
              <w:t>包括原料罐区、中间罐区、成品罐区、液化烃罐区，共计49台储罐，总容积30.3×10</w:t>
            </w:r>
            <w:r>
              <w:rPr>
                <w:rFonts w:ascii="Times New Roman" w:hAnsi="Times New Roman" w:eastAsia="宋体"/>
                <w:kern w:val="2"/>
                <w:sz w:val="21"/>
                <w:szCs w:val="21"/>
                <w:vertAlign w:val="superscript"/>
              </w:rPr>
              <w:t>4</w:t>
            </w:r>
            <w:r>
              <w:rPr>
                <w:rFonts w:ascii="Times New Roman" w:hAnsi="Times New Roman" w:eastAsia="宋体"/>
                <w:kern w:val="2"/>
                <w:sz w:val="21"/>
                <w:szCs w:val="21"/>
              </w:rPr>
              <w:t>m</w:t>
            </w:r>
            <w:r>
              <w:rPr>
                <w:rFonts w:ascii="Times New Roman" w:hAnsi="Times New Roman" w:eastAsia="宋体"/>
                <w:kern w:val="2"/>
                <w:sz w:val="21"/>
                <w:szCs w:val="21"/>
                <w:vertAlign w:val="superscript"/>
              </w:rPr>
              <w:t>3</w:t>
            </w:r>
            <w:r>
              <w:rPr>
                <w:rFonts w:ascii="Times New Roman" w:hAnsi="Times New Roman" w:eastAsia="宋体"/>
                <w:kern w:val="2"/>
                <w:sz w:val="21"/>
                <w:szCs w:val="21"/>
              </w:rPr>
              <w:t>，后续建设工程依据实际情况调整</w:t>
            </w:r>
          </w:p>
        </w:tc>
        <w:tc>
          <w:tcPr>
            <w:tcW w:w="2502" w:type="dxa"/>
            <w:vAlign w:val="center"/>
          </w:tcPr>
          <w:p>
            <w:pPr>
              <w:pStyle w:val="8"/>
              <w:widowControl w:val="0"/>
              <w:spacing w:before="0" w:beforeAutospacing="0" w:after="0" w:afterAutospacing="0" w:line="240" w:lineRule="exact"/>
              <w:ind w:firstLine="0" w:firstLineChars="0"/>
              <w:jc w:val="center"/>
              <w:rPr>
                <w:rFonts w:ascii="Times New Roman" w:hAnsi="Times New Roman"/>
                <w:kern w:val="2"/>
                <w:sz w:val="21"/>
                <w:szCs w:val="21"/>
              </w:rPr>
            </w:pPr>
            <w:r>
              <w:rPr>
                <w:rFonts w:ascii="Times New Roman" w:hAnsi="Times New Roman"/>
                <w:kern w:val="2"/>
                <w:sz w:val="21"/>
                <w:szCs w:val="21"/>
              </w:rPr>
              <w:t>10万吨/年丙烯及联产芳烃工程包括301罐区9台，302罐区10台，320罐区8台，324球罐区10台储罐，后续建设260万吨/年原油预处理装置对罐区进行调整，共计增加15个储罐，共计11.1×104m</w:t>
            </w:r>
            <w:r>
              <w:rPr>
                <w:rFonts w:ascii="Times New Roman" w:hAnsi="Times New Roman"/>
                <w:kern w:val="2"/>
                <w:sz w:val="21"/>
                <w:szCs w:val="21"/>
                <w:vertAlign w:val="superscript"/>
              </w:rPr>
              <w:t>3</w:t>
            </w:r>
            <w:r>
              <w:rPr>
                <w:rFonts w:ascii="Times New Roman" w:hAnsi="Times New Roman"/>
                <w:kern w:val="2"/>
                <w:sz w:val="21"/>
                <w:szCs w:val="21"/>
              </w:rPr>
              <w:t>。共计30.8×104m</w:t>
            </w:r>
            <w:r>
              <w:rPr>
                <w:rFonts w:ascii="Times New Roman" w:hAnsi="Times New Roman"/>
                <w:kern w:val="2"/>
                <w:sz w:val="21"/>
                <w:szCs w:val="21"/>
                <w:vertAlign w:val="superscript"/>
              </w:rPr>
              <w:t>3</w:t>
            </w:r>
          </w:p>
        </w:tc>
        <w:tc>
          <w:tcPr>
            <w:tcW w:w="2956" w:type="dxa"/>
            <w:vAlign w:val="center"/>
          </w:tcPr>
          <w:p>
            <w:pPr>
              <w:pStyle w:val="8"/>
              <w:widowControl w:val="0"/>
              <w:spacing w:before="0" w:beforeAutospacing="0" w:after="0" w:afterAutospacing="0" w:line="240" w:lineRule="exact"/>
              <w:ind w:firstLine="0" w:firstLineChars="0"/>
              <w:jc w:val="center"/>
              <w:rPr>
                <w:rFonts w:ascii="Times New Roman" w:hAnsi="Times New Roman"/>
                <w:kern w:val="2"/>
                <w:sz w:val="21"/>
                <w:szCs w:val="21"/>
              </w:rPr>
            </w:pPr>
            <w:r>
              <w:rPr>
                <w:rFonts w:ascii="Times New Roman" w:hAnsi="Times New Roman"/>
                <w:kern w:val="2"/>
                <w:sz w:val="21"/>
                <w:szCs w:val="21"/>
              </w:rPr>
              <w:t>项目全厂储罐数量及容积有所</w:t>
            </w:r>
            <w:r>
              <w:rPr>
                <w:rFonts w:hint="eastAsia" w:ascii="Times New Roman" w:hAnsi="Times New Roman"/>
                <w:kern w:val="2"/>
                <w:sz w:val="21"/>
                <w:szCs w:val="21"/>
              </w:rPr>
              <w:t>增加</w:t>
            </w:r>
            <w:r>
              <w:rPr>
                <w:rFonts w:ascii="Times New Roman" w:hAnsi="Times New Roman"/>
                <w:kern w:val="2"/>
                <w:sz w:val="21"/>
                <w:szCs w:val="21"/>
              </w:rPr>
              <w:t>，</w:t>
            </w:r>
            <w:r>
              <w:rPr>
                <w:rFonts w:hint="eastAsia" w:ascii="Times New Roman" w:hAnsi="Times New Roman"/>
                <w:kern w:val="2"/>
                <w:sz w:val="21"/>
                <w:szCs w:val="21"/>
              </w:rPr>
              <w:t>与</w:t>
            </w:r>
            <w:r>
              <w:rPr>
                <w:rFonts w:hint="eastAsia" w:ascii="Times New Roman" w:hAnsi="Times New Roman"/>
                <w:kern w:val="2"/>
                <w:sz w:val="21"/>
                <w:szCs w:val="21"/>
                <w:lang w:eastAsia="zh-CN"/>
              </w:rPr>
              <w:t>另外</w:t>
            </w:r>
            <w:r>
              <w:rPr>
                <w:rFonts w:hint="eastAsia" w:ascii="Times New Roman" w:hAnsi="Times New Roman"/>
                <w:kern w:val="2"/>
                <w:sz w:val="21"/>
                <w:szCs w:val="21"/>
              </w:rPr>
              <w:t>两个项目一并考虑，不属于重大变更</w:t>
            </w:r>
            <w:r>
              <w:rPr>
                <w:rFonts w:ascii="Times New Roman" w:hAnsi="Times New Roman"/>
                <w:kern w:val="2"/>
                <w:sz w:val="21"/>
                <w:szCs w:val="21"/>
              </w:rPr>
              <w: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8" w:type="dxa"/>
            <w:vMerge w:val="restart"/>
            <w:vAlign w:val="center"/>
          </w:tcPr>
          <w:p>
            <w:pPr>
              <w:pStyle w:val="13"/>
              <w:spacing w:line="240" w:lineRule="auto"/>
              <w:rPr>
                <w:rFonts w:hint="eastAsia" w:eastAsia="宋体"/>
                <w:color w:val="auto"/>
                <w:szCs w:val="21"/>
                <w:lang w:val="en-US" w:eastAsia="zh-CN"/>
              </w:rPr>
            </w:pPr>
            <w:r>
              <w:rPr>
                <w:rFonts w:hint="eastAsia"/>
                <w:color w:val="auto"/>
                <w:szCs w:val="21"/>
                <w:lang w:val="en-US" w:eastAsia="zh-CN"/>
              </w:rPr>
              <w:t>环保工程</w:t>
            </w:r>
          </w:p>
        </w:tc>
        <w:tc>
          <w:tcPr>
            <w:tcW w:w="474" w:type="dxa"/>
            <w:vAlign w:val="center"/>
          </w:tcPr>
          <w:p>
            <w:pPr>
              <w:pStyle w:val="13"/>
              <w:spacing w:line="240" w:lineRule="auto"/>
              <w:rPr>
                <w:rFonts w:hint="eastAsia" w:eastAsia="宋体"/>
                <w:color w:val="auto"/>
                <w:szCs w:val="21"/>
                <w:lang w:val="en-US" w:eastAsia="zh-CN"/>
              </w:rPr>
            </w:pPr>
            <w:r>
              <w:rPr>
                <w:rFonts w:hint="eastAsia"/>
                <w:color w:val="auto"/>
                <w:szCs w:val="21"/>
                <w:lang w:val="en-US" w:eastAsia="zh-CN"/>
              </w:rPr>
              <w:t>危废焚烧炉</w:t>
            </w:r>
          </w:p>
        </w:tc>
        <w:tc>
          <w:tcPr>
            <w:tcW w:w="2190" w:type="dxa"/>
            <w:vAlign w:val="center"/>
          </w:tcPr>
          <w:p>
            <w:pPr>
              <w:pStyle w:val="13"/>
              <w:spacing w:line="240" w:lineRule="auto"/>
              <w:rPr>
                <w:szCs w:val="21"/>
              </w:rPr>
            </w:pPr>
            <w:r>
              <w:rPr>
                <w:rFonts w:hint="eastAsia"/>
                <w:color w:val="auto"/>
                <w:szCs w:val="21"/>
                <w:lang w:eastAsia="zh-CN"/>
              </w:rPr>
              <w:t>焚烧炉处理规模设计为</w:t>
            </w:r>
            <w:r>
              <w:rPr>
                <w:rFonts w:hint="eastAsia"/>
                <w:color w:val="auto"/>
                <w:szCs w:val="21"/>
                <w:lang w:val="en-US" w:eastAsia="zh-CN"/>
              </w:rPr>
              <w:t>200kg/h</w:t>
            </w:r>
          </w:p>
        </w:tc>
        <w:tc>
          <w:tcPr>
            <w:tcW w:w="2502" w:type="dxa"/>
            <w:vAlign w:val="center"/>
          </w:tcPr>
          <w:p>
            <w:pPr>
              <w:pStyle w:val="13"/>
              <w:spacing w:line="240" w:lineRule="auto"/>
              <w:rPr>
                <w:color w:val="auto"/>
                <w:szCs w:val="21"/>
              </w:rPr>
            </w:pPr>
            <w:r>
              <w:rPr>
                <w:rFonts w:hint="eastAsia"/>
                <w:color w:val="auto"/>
                <w:szCs w:val="21"/>
                <w:lang w:eastAsia="zh-CN"/>
              </w:rPr>
              <w:t>未建设</w:t>
            </w:r>
          </w:p>
        </w:tc>
        <w:tc>
          <w:tcPr>
            <w:tcW w:w="2956" w:type="dxa"/>
            <w:vAlign w:val="center"/>
          </w:tcPr>
          <w:p>
            <w:pPr>
              <w:numPr>
                <w:ilvl w:val="-1"/>
                <w:numId w:val="0"/>
              </w:numPr>
              <w:ind w:firstLine="0"/>
              <w:rPr>
                <w:rFonts w:ascii="Times New Roman" w:hAnsi="Times New Roman" w:eastAsia="宋体" w:cs="Times New Roman"/>
                <w:kern w:val="2"/>
                <w:sz w:val="21"/>
                <w:szCs w:val="21"/>
                <w:lang w:val="en-US" w:eastAsia="zh-CN" w:bidi="ar-SA"/>
              </w:rPr>
            </w:pPr>
            <w:r>
              <w:rPr>
                <w:u w:val="none"/>
              </w:rPr>
              <w:t>危废焚烧炉尚未建设，河南能信环保科技有限公司</w:t>
            </w:r>
            <w:r>
              <w:rPr>
                <w:rFonts w:hint="eastAsia"/>
                <w:u w:val="none"/>
              </w:rPr>
              <w:t>及</w:t>
            </w:r>
            <w:r>
              <w:rPr>
                <w:u w:val="none"/>
              </w:rPr>
              <w:t>河南丰利石化有限公司</w:t>
            </w:r>
            <w:r>
              <w:rPr>
                <w:rFonts w:hint="eastAsia"/>
                <w:u w:val="none"/>
              </w:rPr>
              <w:t>均属于</w:t>
            </w:r>
            <w:r>
              <w:rPr>
                <w:u w:val="none"/>
              </w:rPr>
              <w:t>信儒集团</w:t>
            </w:r>
            <w:r>
              <w:rPr>
                <w:rFonts w:hint="eastAsia"/>
                <w:u w:val="none"/>
              </w:rPr>
              <w:t>下属子公司，</w:t>
            </w:r>
            <w:r>
              <w:rPr>
                <w:u w:val="none"/>
              </w:rPr>
              <w:t>河南能信环保科技有限公司</w:t>
            </w:r>
            <w:r>
              <w:rPr>
                <w:rFonts w:hint="eastAsia"/>
                <w:u w:val="none"/>
              </w:rPr>
              <w:t>与河南丰利石化有限公司</w:t>
            </w:r>
            <w:r>
              <w:rPr>
                <w:u w:val="none"/>
              </w:rPr>
              <w:t>拟于2018年建设规模为固废焚烧年处理量1.5万吨，年综合处理5万吨废物的危废焚烧炉，</w:t>
            </w:r>
            <w:r>
              <w:rPr>
                <w:rFonts w:hint="eastAsia"/>
                <w:u w:val="none"/>
              </w:rPr>
              <w:t>该项目环评已得到河南省环保厅的批复，</w:t>
            </w:r>
            <w:r>
              <w:rPr>
                <w:u w:val="none"/>
              </w:rPr>
              <w:t>目前依托有危险废物处理资质的单位进行危废处理。</w:t>
            </w:r>
            <w:r>
              <w:rPr>
                <w:rFonts w:hint="eastAsia"/>
                <w:u w:val="none"/>
              </w:rPr>
              <w:t>依据河南省化工研究所有限责任公司编制的《</w:t>
            </w:r>
            <w:r>
              <w:rPr>
                <w:u w:val="none"/>
              </w:rPr>
              <w:t>河南丰利石化有限公司10 万盹/年丙烯及联产芳短工程项目及60 万盹/年中芳炬加氢改质工程变动环境影响分析报告</w:t>
            </w:r>
            <w:r>
              <w:rPr>
                <w:rFonts w:hint="eastAsia"/>
                <w:u w:val="none"/>
              </w:rPr>
              <w:t>》，方案可行不属于重大变更。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8" w:type="dxa"/>
            <w:vMerge w:val="continue"/>
            <w:vAlign w:val="center"/>
          </w:tcPr>
          <w:p>
            <w:pPr>
              <w:pStyle w:val="13"/>
              <w:spacing w:line="240" w:lineRule="auto"/>
              <w:rPr>
                <w:rFonts w:hint="eastAsia"/>
                <w:color w:val="auto"/>
                <w:szCs w:val="21"/>
                <w:lang w:val="en-US" w:eastAsia="zh-CN"/>
              </w:rPr>
            </w:pPr>
          </w:p>
        </w:tc>
        <w:tc>
          <w:tcPr>
            <w:tcW w:w="474" w:type="dxa"/>
            <w:vAlign w:val="center"/>
          </w:tcPr>
          <w:p>
            <w:pPr>
              <w:pStyle w:val="13"/>
              <w:spacing w:line="240" w:lineRule="auto"/>
              <w:rPr>
                <w:rFonts w:hint="eastAsia"/>
                <w:b/>
                <w:bCs/>
                <w:color w:val="auto"/>
                <w:szCs w:val="21"/>
                <w:u w:val="single"/>
                <w:lang w:val="en-US" w:eastAsia="zh-CN"/>
              </w:rPr>
            </w:pPr>
            <w:r>
              <w:rPr>
                <w:b/>
                <w:bCs/>
                <w:color w:val="auto"/>
                <w:szCs w:val="21"/>
                <w:u w:val="single"/>
              </w:rPr>
              <w:t>污水处理站</w:t>
            </w:r>
          </w:p>
        </w:tc>
        <w:tc>
          <w:tcPr>
            <w:tcW w:w="2190" w:type="dxa"/>
            <w:vAlign w:val="center"/>
          </w:tcPr>
          <w:p>
            <w:pPr>
              <w:pStyle w:val="13"/>
              <w:spacing w:line="240" w:lineRule="auto"/>
              <w:rPr>
                <w:rFonts w:hint="default"/>
                <w:b/>
                <w:bCs/>
                <w:color w:val="auto"/>
                <w:szCs w:val="21"/>
                <w:u w:val="single"/>
                <w:lang w:val="en-US" w:eastAsia="zh-CN"/>
              </w:rPr>
            </w:pPr>
            <w:r>
              <w:rPr>
                <w:rFonts w:hint="eastAsia" w:cs="Times New Roman"/>
                <w:b/>
                <w:bCs/>
                <w:kern w:val="2"/>
                <w:sz w:val="21"/>
                <w:szCs w:val="21"/>
                <w:u w:val="single"/>
                <w:lang w:val="en-US" w:eastAsia="zh-CN" w:bidi="ar-SA"/>
              </w:rPr>
              <w:t>污泥处理措施改进，原压滤后委托有资质单位处理</w:t>
            </w:r>
          </w:p>
        </w:tc>
        <w:tc>
          <w:tcPr>
            <w:tcW w:w="2502" w:type="dxa"/>
            <w:vAlign w:val="center"/>
          </w:tcPr>
          <w:p>
            <w:pPr>
              <w:pStyle w:val="13"/>
              <w:spacing w:line="240" w:lineRule="auto"/>
              <w:rPr>
                <w:rFonts w:hint="default"/>
                <w:b/>
                <w:bCs/>
                <w:color w:val="auto"/>
                <w:szCs w:val="21"/>
                <w:u w:val="single"/>
                <w:lang w:val="en-US" w:eastAsia="zh-CN"/>
              </w:rPr>
            </w:pPr>
            <w:r>
              <w:rPr>
                <w:rFonts w:hint="eastAsia" w:cs="Times New Roman"/>
                <w:b/>
                <w:bCs/>
                <w:kern w:val="2"/>
                <w:sz w:val="21"/>
                <w:szCs w:val="21"/>
                <w:u w:val="single"/>
                <w:lang w:val="en-US" w:eastAsia="zh-CN" w:bidi="ar-SA"/>
              </w:rPr>
              <w:t>改进为压滤烘干后委托有资质单位处理。</w:t>
            </w:r>
          </w:p>
        </w:tc>
        <w:tc>
          <w:tcPr>
            <w:tcW w:w="2956" w:type="dxa"/>
            <w:vAlign w:val="center"/>
          </w:tcPr>
          <w:p>
            <w:pPr>
              <w:numPr>
                <w:ilvl w:val="-1"/>
                <w:numId w:val="0"/>
              </w:numPr>
              <w:ind w:firstLine="0"/>
              <w:jc w:val="center"/>
              <w:rPr>
                <w:rFonts w:hint="eastAsia" w:eastAsia="宋体"/>
                <w:b/>
                <w:bCs/>
                <w:u w:val="single"/>
                <w:lang w:val="en-US" w:eastAsia="zh-CN"/>
              </w:rPr>
            </w:pPr>
            <w:r>
              <w:rPr>
                <w:rFonts w:hint="eastAsia"/>
                <w:b/>
                <w:bCs/>
                <w:u w:val="single"/>
                <w:lang w:val="en-US" w:eastAsia="zh-CN"/>
              </w:rPr>
              <w:t>/</w:t>
            </w:r>
          </w:p>
        </w:tc>
      </w:tr>
    </w:tbl>
    <w:p>
      <w:pPr>
        <w:overflowPunct w:val="0"/>
        <w:topLinePunct/>
        <w:spacing w:line="590" w:lineRule="exact"/>
        <w:ind w:firstLine="640" w:firstLineChars="200"/>
        <w:rPr>
          <w:rFonts w:ascii="Times New Roman" w:hAnsi="Times New Roman" w:eastAsia="方正黑体_GBK"/>
          <w:b/>
          <w:sz w:val="32"/>
          <w:szCs w:val="32"/>
        </w:rPr>
      </w:pPr>
      <w:r>
        <w:rPr>
          <w:rFonts w:ascii="Times New Roman" w:hAnsi="Times New Roman" w:eastAsia="方正黑体_GBK"/>
          <w:b/>
          <w:sz w:val="32"/>
          <w:szCs w:val="32"/>
        </w:rPr>
        <w:br w:type="page"/>
      </w:r>
    </w:p>
    <w:p>
      <w:pPr>
        <w:pStyle w:val="2"/>
      </w:pPr>
      <w:r>
        <w:t>4  噪声和固体废物污染防治设施</w:t>
      </w:r>
    </w:p>
    <w:p>
      <w:pPr>
        <w:pStyle w:val="3"/>
      </w:pPr>
      <w:r>
        <w:t>4.1  噪声污染防治设施及措施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本项目噪声设备主要为空冷器、压缩机、大型机泵、鼓风机、反应炉、各种物料泵、空冷器等工作时产生的噪声。高噪声源主要两种类型：一是机械噪声，如高速运转的机器部件、输送装置等；二是空气动力性噪声，如风机、压缩机等。根据不同设备噪声特性，采取不同的降噪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针对机械噪声源采用设置减震基础、室内吸声隔声等措施；对空气动力性噪声采取安装消声器、隔声专用机房以及对机房安装隔声门窗等措施。另外，可在设备选型时在同类设备中选用低噪声设备，或将高噪声设备布置在远离厂界的区域。企业在厂区内进行充分立体绿化，在厂界四周种植高大树木，在厂内的道路两旁种植灌木和花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 w:val="24"/>
          <w:szCs w:val="24"/>
        </w:rPr>
      </w:pPr>
      <w:r>
        <w:rPr>
          <w:sz w:val="24"/>
          <w:szCs w:val="24"/>
        </w:rPr>
        <w:t>噪声治理设施见附图</w:t>
      </w:r>
      <w:r>
        <w:rPr>
          <w:rFonts w:hint="eastAsia"/>
          <w:sz w:val="24"/>
          <w:szCs w:val="24"/>
          <w:lang w:val="en-US" w:eastAsia="zh-CN"/>
        </w:rPr>
        <w:t>5</w:t>
      </w:r>
      <w:r>
        <w:rPr>
          <w:sz w:val="24"/>
          <w:szCs w:val="24"/>
        </w:rPr>
        <w:t>。</w:t>
      </w:r>
    </w:p>
    <w:p>
      <w:pPr>
        <w:pStyle w:val="12"/>
        <w:spacing w:after="120" w:afterLines="50"/>
        <w:ind w:firstLine="0" w:firstLineChars="0"/>
      </w:pPr>
      <w:r>
        <w:t>表</w:t>
      </w:r>
      <w:r>
        <w:rPr>
          <w:rFonts w:hint="eastAsia"/>
          <w:lang w:val="en-US" w:eastAsia="zh-CN"/>
        </w:rPr>
        <w:t>4</w:t>
      </w:r>
      <w:r>
        <w:t xml:space="preserve">   工程噪声源及治理措施一览表</w:t>
      </w:r>
    </w:p>
    <w:tbl>
      <w:tblPr>
        <w:tblStyle w:val="10"/>
        <w:tblW w:w="8522"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576"/>
        <w:gridCol w:w="945"/>
        <w:gridCol w:w="645"/>
        <w:gridCol w:w="1740"/>
        <w:gridCol w:w="795"/>
        <w:gridCol w:w="2189"/>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2" w:hRule="exact"/>
          <w:tblHeader/>
          <w:jc w:val="center"/>
        </w:trPr>
        <w:tc>
          <w:tcPr>
            <w:tcW w:w="632" w:type="dxa"/>
            <w:tcBorders>
              <w:tl2br w:val="nil"/>
              <w:tr2bl w:val="nil"/>
            </w:tcBorders>
            <w:vAlign w:val="center"/>
          </w:tcPr>
          <w:p>
            <w:pPr>
              <w:pStyle w:val="13"/>
              <w:spacing w:line="360" w:lineRule="exact"/>
              <w:rPr>
                <w:b/>
                <w:color w:val="auto"/>
                <w:szCs w:val="21"/>
              </w:rPr>
            </w:pPr>
            <w:r>
              <w:rPr>
                <w:b/>
                <w:color w:val="auto"/>
                <w:szCs w:val="21"/>
              </w:rPr>
              <w:t>序号</w:t>
            </w:r>
          </w:p>
        </w:tc>
        <w:tc>
          <w:tcPr>
            <w:tcW w:w="1576" w:type="dxa"/>
            <w:tcBorders>
              <w:tl2br w:val="nil"/>
              <w:tr2bl w:val="nil"/>
            </w:tcBorders>
            <w:vAlign w:val="center"/>
          </w:tcPr>
          <w:p>
            <w:pPr>
              <w:pStyle w:val="13"/>
              <w:spacing w:line="360" w:lineRule="exact"/>
              <w:rPr>
                <w:b/>
                <w:color w:val="auto"/>
                <w:szCs w:val="21"/>
              </w:rPr>
            </w:pPr>
            <w:r>
              <w:rPr>
                <w:b/>
                <w:color w:val="auto"/>
                <w:szCs w:val="21"/>
              </w:rPr>
              <w:t>噪声源设备名称</w:t>
            </w:r>
          </w:p>
        </w:tc>
        <w:tc>
          <w:tcPr>
            <w:tcW w:w="945" w:type="dxa"/>
            <w:tcBorders>
              <w:tl2br w:val="nil"/>
              <w:tr2bl w:val="nil"/>
            </w:tcBorders>
            <w:vAlign w:val="center"/>
          </w:tcPr>
          <w:p>
            <w:pPr>
              <w:pStyle w:val="13"/>
              <w:spacing w:line="360" w:lineRule="exact"/>
              <w:rPr>
                <w:b/>
                <w:color w:val="auto"/>
                <w:szCs w:val="21"/>
              </w:rPr>
            </w:pPr>
            <w:r>
              <w:rPr>
                <w:b/>
                <w:color w:val="auto"/>
                <w:szCs w:val="21"/>
              </w:rPr>
              <w:t>源强</w:t>
            </w:r>
          </w:p>
        </w:tc>
        <w:tc>
          <w:tcPr>
            <w:tcW w:w="645" w:type="dxa"/>
            <w:tcBorders>
              <w:tl2br w:val="nil"/>
              <w:tr2bl w:val="nil"/>
            </w:tcBorders>
            <w:vAlign w:val="center"/>
          </w:tcPr>
          <w:p>
            <w:pPr>
              <w:pStyle w:val="13"/>
              <w:spacing w:line="360" w:lineRule="exact"/>
              <w:rPr>
                <w:b/>
                <w:color w:val="auto"/>
                <w:szCs w:val="21"/>
              </w:rPr>
            </w:pPr>
            <w:r>
              <w:rPr>
                <w:b/>
                <w:color w:val="auto"/>
                <w:szCs w:val="21"/>
              </w:rPr>
              <w:t>台数</w:t>
            </w:r>
          </w:p>
        </w:tc>
        <w:tc>
          <w:tcPr>
            <w:tcW w:w="1740" w:type="dxa"/>
            <w:tcBorders>
              <w:tl2br w:val="nil"/>
              <w:tr2bl w:val="nil"/>
            </w:tcBorders>
            <w:vAlign w:val="center"/>
          </w:tcPr>
          <w:p>
            <w:pPr>
              <w:pStyle w:val="13"/>
              <w:spacing w:line="360" w:lineRule="exact"/>
              <w:rPr>
                <w:b/>
                <w:color w:val="auto"/>
                <w:szCs w:val="21"/>
              </w:rPr>
            </w:pPr>
            <w:r>
              <w:rPr>
                <w:b/>
                <w:color w:val="auto"/>
                <w:szCs w:val="21"/>
              </w:rPr>
              <w:t>位置</w:t>
            </w:r>
          </w:p>
        </w:tc>
        <w:tc>
          <w:tcPr>
            <w:tcW w:w="795" w:type="dxa"/>
            <w:tcBorders>
              <w:tl2br w:val="nil"/>
              <w:tr2bl w:val="nil"/>
            </w:tcBorders>
            <w:vAlign w:val="center"/>
          </w:tcPr>
          <w:p>
            <w:pPr>
              <w:pStyle w:val="13"/>
              <w:spacing w:line="360" w:lineRule="exact"/>
              <w:rPr>
                <w:b/>
                <w:color w:val="auto"/>
                <w:szCs w:val="21"/>
              </w:rPr>
            </w:pPr>
            <w:r>
              <w:rPr>
                <w:b/>
                <w:color w:val="auto"/>
                <w:szCs w:val="21"/>
              </w:rPr>
              <w:t>运行方式</w:t>
            </w:r>
          </w:p>
        </w:tc>
        <w:tc>
          <w:tcPr>
            <w:tcW w:w="2189" w:type="dxa"/>
            <w:tcBorders>
              <w:tl2br w:val="nil"/>
              <w:tr2bl w:val="nil"/>
            </w:tcBorders>
            <w:vAlign w:val="center"/>
          </w:tcPr>
          <w:p>
            <w:pPr>
              <w:pStyle w:val="13"/>
              <w:spacing w:line="360" w:lineRule="exact"/>
              <w:rPr>
                <w:b/>
                <w:color w:val="auto"/>
                <w:szCs w:val="21"/>
              </w:rPr>
            </w:pPr>
            <w:r>
              <w:rPr>
                <w:b/>
                <w:color w:val="auto"/>
                <w:szCs w:val="21"/>
              </w:rPr>
              <w:t>治理措施</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22" w:type="dxa"/>
            <w:gridSpan w:val="7"/>
            <w:tcBorders>
              <w:tl2br w:val="nil"/>
              <w:tr2bl w:val="nil"/>
            </w:tcBorders>
            <w:vAlign w:val="center"/>
          </w:tcPr>
          <w:p>
            <w:pPr>
              <w:pStyle w:val="13"/>
              <w:spacing w:line="360" w:lineRule="exact"/>
              <w:rPr>
                <w:color w:val="auto"/>
                <w:szCs w:val="21"/>
              </w:rPr>
            </w:pPr>
            <w:r>
              <w:rPr>
                <w:color w:val="auto"/>
                <w:szCs w:val="21"/>
              </w:rPr>
              <w:t>60万吨/年轻芳烃加氢改质工程</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2" w:type="dxa"/>
            <w:tcBorders>
              <w:tl2br w:val="nil"/>
              <w:tr2bl w:val="nil"/>
            </w:tcBorders>
            <w:vAlign w:val="center"/>
          </w:tcPr>
          <w:p>
            <w:pPr>
              <w:pStyle w:val="13"/>
              <w:spacing w:line="360" w:lineRule="exact"/>
              <w:rPr>
                <w:color w:val="auto"/>
                <w:szCs w:val="21"/>
              </w:rPr>
            </w:pPr>
            <w:r>
              <w:rPr>
                <w:color w:val="auto"/>
                <w:szCs w:val="21"/>
              </w:rPr>
              <w:t>1</w:t>
            </w:r>
          </w:p>
        </w:tc>
        <w:tc>
          <w:tcPr>
            <w:tcW w:w="1576" w:type="dxa"/>
            <w:tcBorders>
              <w:tl2br w:val="nil"/>
              <w:tr2bl w:val="nil"/>
            </w:tcBorders>
            <w:vAlign w:val="center"/>
          </w:tcPr>
          <w:p>
            <w:pPr>
              <w:pStyle w:val="13"/>
              <w:spacing w:line="360" w:lineRule="exact"/>
              <w:rPr>
                <w:color w:val="auto"/>
                <w:szCs w:val="21"/>
              </w:rPr>
            </w:pPr>
            <w:r>
              <w:rPr>
                <w:color w:val="auto"/>
                <w:szCs w:val="21"/>
              </w:rPr>
              <w:t>鼓风机</w:t>
            </w:r>
          </w:p>
        </w:tc>
        <w:tc>
          <w:tcPr>
            <w:tcW w:w="945" w:type="dxa"/>
            <w:tcBorders>
              <w:tl2br w:val="nil"/>
              <w:tr2bl w:val="nil"/>
            </w:tcBorders>
            <w:vAlign w:val="center"/>
          </w:tcPr>
          <w:p>
            <w:pPr>
              <w:pStyle w:val="13"/>
              <w:spacing w:line="360" w:lineRule="exact"/>
              <w:rPr>
                <w:color w:val="auto"/>
                <w:szCs w:val="21"/>
              </w:rPr>
            </w:pPr>
            <w:r>
              <w:rPr>
                <w:color w:val="auto"/>
                <w:szCs w:val="21"/>
              </w:rPr>
              <w:t>85～93</w:t>
            </w:r>
          </w:p>
        </w:tc>
        <w:tc>
          <w:tcPr>
            <w:tcW w:w="645" w:type="dxa"/>
            <w:tcBorders>
              <w:tl2br w:val="nil"/>
              <w:tr2bl w:val="nil"/>
            </w:tcBorders>
            <w:vAlign w:val="center"/>
          </w:tcPr>
          <w:p>
            <w:pPr>
              <w:pStyle w:val="13"/>
              <w:spacing w:line="360" w:lineRule="exact"/>
              <w:rPr>
                <w:color w:val="auto"/>
                <w:szCs w:val="21"/>
              </w:rPr>
            </w:pPr>
            <w:r>
              <w:rPr>
                <w:color w:val="auto"/>
                <w:szCs w:val="21"/>
              </w:rPr>
              <w:t>3</w:t>
            </w:r>
          </w:p>
        </w:tc>
        <w:tc>
          <w:tcPr>
            <w:tcW w:w="1740" w:type="dxa"/>
            <w:tcBorders>
              <w:tl2br w:val="nil"/>
              <w:tr2bl w:val="nil"/>
            </w:tcBorders>
            <w:vAlign w:val="center"/>
          </w:tcPr>
          <w:p>
            <w:pPr>
              <w:pStyle w:val="13"/>
              <w:spacing w:line="360" w:lineRule="exact"/>
              <w:rPr>
                <w:color w:val="auto"/>
                <w:szCs w:val="21"/>
              </w:rPr>
            </w:pPr>
            <w:r>
              <w:rPr>
                <w:color w:val="auto"/>
                <w:szCs w:val="21"/>
              </w:rPr>
              <w:t>室外</w:t>
            </w:r>
          </w:p>
        </w:tc>
        <w:tc>
          <w:tcPr>
            <w:tcW w:w="795" w:type="dxa"/>
            <w:tcBorders>
              <w:tl2br w:val="nil"/>
              <w:tr2bl w:val="nil"/>
            </w:tcBorders>
            <w:vAlign w:val="center"/>
          </w:tcPr>
          <w:p>
            <w:pPr>
              <w:pStyle w:val="13"/>
              <w:spacing w:line="360" w:lineRule="exact"/>
              <w:rPr>
                <w:color w:val="auto"/>
                <w:szCs w:val="21"/>
              </w:rPr>
            </w:pPr>
            <w:r>
              <w:rPr>
                <w:color w:val="auto"/>
                <w:szCs w:val="21"/>
              </w:rPr>
              <w:t>连续</w:t>
            </w:r>
          </w:p>
        </w:tc>
        <w:tc>
          <w:tcPr>
            <w:tcW w:w="2189" w:type="dxa"/>
            <w:tcBorders>
              <w:tl2br w:val="nil"/>
              <w:tr2bl w:val="nil"/>
            </w:tcBorders>
            <w:vAlign w:val="center"/>
          </w:tcPr>
          <w:p>
            <w:pPr>
              <w:pStyle w:val="13"/>
              <w:spacing w:line="360" w:lineRule="exact"/>
              <w:rPr>
                <w:color w:val="auto"/>
                <w:szCs w:val="21"/>
              </w:rPr>
            </w:pPr>
            <w:r>
              <w:rPr>
                <w:color w:val="auto"/>
                <w:szCs w:val="21"/>
              </w:rPr>
              <w:t>低噪音风机、电机</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7" w:hRule="exact"/>
          <w:jc w:val="center"/>
        </w:trPr>
        <w:tc>
          <w:tcPr>
            <w:tcW w:w="632" w:type="dxa"/>
            <w:tcBorders>
              <w:tl2br w:val="nil"/>
              <w:tr2bl w:val="nil"/>
            </w:tcBorders>
            <w:vAlign w:val="center"/>
          </w:tcPr>
          <w:p>
            <w:pPr>
              <w:pStyle w:val="13"/>
              <w:spacing w:line="360" w:lineRule="exact"/>
              <w:rPr>
                <w:color w:val="auto"/>
                <w:szCs w:val="21"/>
              </w:rPr>
            </w:pPr>
            <w:r>
              <w:rPr>
                <w:color w:val="auto"/>
                <w:szCs w:val="21"/>
              </w:rPr>
              <w:t>2</w:t>
            </w:r>
          </w:p>
        </w:tc>
        <w:tc>
          <w:tcPr>
            <w:tcW w:w="1576" w:type="dxa"/>
            <w:tcBorders>
              <w:tl2br w:val="nil"/>
              <w:tr2bl w:val="nil"/>
            </w:tcBorders>
            <w:vAlign w:val="center"/>
          </w:tcPr>
          <w:p>
            <w:pPr>
              <w:pStyle w:val="13"/>
              <w:spacing w:line="360" w:lineRule="exact"/>
              <w:rPr>
                <w:color w:val="auto"/>
                <w:szCs w:val="21"/>
              </w:rPr>
            </w:pPr>
            <w:r>
              <w:rPr>
                <w:color w:val="auto"/>
                <w:szCs w:val="21"/>
              </w:rPr>
              <w:t>空压机</w:t>
            </w:r>
          </w:p>
        </w:tc>
        <w:tc>
          <w:tcPr>
            <w:tcW w:w="945" w:type="dxa"/>
            <w:tcBorders>
              <w:tl2br w:val="nil"/>
              <w:tr2bl w:val="nil"/>
            </w:tcBorders>
            <w:vAlign w:val="center"/>
          </w:tcPr>
          <w:p>
            <w:pPr>
              <w:pStyle w:val="13"/>
              <w:spacing w:line="360" w:lineRule="exact"/>
              <w:rPr>
                <w:color w:val="auto"/>
                <w:szCs w:val="21"/>
              </w:rPr>
            </w:pPr>
            <w:r>
              <w:rPr>
                <w:color w:val="auto"/>
                <w:szCs w:val="21"/>
              </w:rPr>
              <w:t>90～110</w:t>
            </w:r>
          </w:p>
        </w:tc>
        <w:tc>
          <w:tcPr>
            <w:tcW w:w="645" w:type="dxa"/>
            <w:tcBorders>
              <w:tl2br w:val="nil"/>
              <w:tr2bl w:val="nil"/>
            </w:tcBorders>
            <w:vAlign w:val="center"/>
          </w:tcPr>
          <w:p>
            <w:pPr>
              <w:pStyle w:val="13"/>
              <w:spacing w:line="360" w:lineRule="exact"/>
              <w:rPr>
                <w:color w:val="auto"/>
                <w:szCs w:val="21"/>
              </w:rPr>
            </w:pPr>
            <w:r>
              <w:rPr>
                <w:color w:val="auto"/>
                <w:szCs w:val="21"/>
              </w:rPr>
              <w:t>5</w:t>
            </w:r>
          </w:p>
        </w:tc>
        <w:tc>
          <w:tcPr>
            <w:tcW w:w="1740" w:type="dxa"/>
            <w:tcBorders>
              <w:tl2br w:val="nil"/>
              <w:tr2bl w:val="nil"/>
            </w:tcBorders>
            <w:vAlign w:val="center"/>
          </w:tcPr>
          <w:p>
            <w:pPr>
              <w:pStyle w:val="13"/>
              <w:spacing w:line="360" w:lineRule="exact"/>
              <w:rPr>
                <w:color w:val="auto"/>
                <w:szCs w:val="21"/>
              </w:rPr>
            </w:pPr>
            <w:r>
              <w:rPr>
                <w:color w:val="auto"/>
                <w:szCs w:val="21"/>
              </w:rPr>
              <w:t>室内</w:t>
            </w:r>
          </w:p>
        </w:tc>
        <w:tc>
          <w:tcPr>
            <w:tcW w:w="795" w:type="dxa"/>
            <w:tcBorders>
              <w:tl2br w:val="nil"/>
              <w:tr2bl w:val="nil"/>
            </w:tcBorders>
            <w:vAlign w:val="center"/>
          </w:tcPr>
          <w:p>
            <w:pPr>
              <w:pStyle w:val="13"/>
              <w:spacing w:line="360" w:lineRule="exact"/>
              <w:rPr>
                <w:color w:val="auto"/>
                <w:szCs w:val="21"/>
              </w:rPr>
            </w:pPr>
            <w:r>
              <w:rPr>
                <w:color w:val="auto"/>
                <w:szCs w:val="21"/>
              </w:rPr>
              <w:t>连续</w:t>
            </w:r>
          </w:p>
        </w:tc>
        <w:tc>
          <w:tcPr>
            <w:tcW w:w="2189" w:type="dxa"/>
            <w:tcBorders>
              <w:tl2br w:val="nil"/>
              <w:tr2bl w:val="nil"/>
            </w:tcBorders>
            <w:vAlign w:val="center"/>
          </w:tcPr>
          <w:p>
            <w:pPr>
              <w:pStyle w:val="13"/>
              <w:spacing w:line="360" w:lineRule="exact"/>
              <w:rPr>
                <w:color w:val="auto"/>
                <w:szCs w:val="21"/>
              </w:rPr>
            </w:pPr>
            <w:r>
              <w:rPr>
                <w:color w:val="auto"/>
                <w:szCs w:val="21"/>
              </w:rPr>
              <w:t>隔声、消声、减震垫</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34" w:hRule="exact"/>
          <w:jc w:val="center"/>
        </w:trPr>
        <w:tc>
          <w:tcPr>
            <w:tcW w:w="632" w:type="dxa"/>
            <w:tcBorders>
              <w:tl2br w:val="nil"/>
              <w:tr2bl w:val="nil"/>
            </w:tcBorders>
            <w:vAlign w:val="center"/>
          </w:tcPr>
          <w:p>
            <w:pPr>
              <w:pStyle w:val="13"/>
              <w:spacing w:line="360" w:lineRule="exact"/>
              <w:rPr>
                <w:color w:val="auto"/>
                <w:szCs w:val="21"/>
              </w:rPr>
            </w:pPr>
            <w:r>
              <w:rPr>
                <w:color w:val="auto"/>
                <w:szCs w:val="21"/>
              </w:rPr>
              <w:t>3</w:t>
            </w:r>
          </w:p>
        </w:tc>
        <w:tc>
          <w:tcPr>
            <w:tcW w:w="1576" w:type="dxa"/>
            <w:tcBorders>
              <w:tl2br w:val="nil"/>
              <w:tr2bl w:val="nil"/>
            </w:tcBorders>
            <w:vAlign w:val="center"/>
          </w:tcPr>
          <w:p>
            <w:pPr>
              <w:pStyle w:val="13"/>
              <w:spacing w:line="360" w:lineRule="exact"/>
              <w:rPr>
                <w:color w:val="auto"/>
                <w:szCs w:val="21"/>
              </w:rPr>
            </w:pPr>
            <w:r>
              <w:rPr>
                <w:color w:val="auto"/>
                <w:szCs w:val="21"/>
              </w:rPr>
              <w:t>各类生产用泵</w:t>
            </w:r>
          </w:p>
        </w:tc>
        <w:tc>
          <w:tcPr>
            <w:tcW w:w="945" w:type="dxa"/>
            <w:tcBorders>
              <w:tl2br w:val="nil"/>
              <w:tr2bl w:val="nil"/>
            </w:tcBorders>
            <w:vAlign w:val="center"/>
          </w:tcPr>
          <w:p>
            <w:pPr>
              <w:pStyle w:val="13"/>
              <w:spacing w:line="360" w:lineRule="exact"/>
              <w:rPr>
                <w:color w:val="auto"/>
                <w:szCs w:val="21"/>
              </w:rPr>
            </w:pPr>
            <w:r>
              <w:rPr>
                <w:color w:val="auto"/>
                <w:szCs w:val="21"/>
              </w:rPr>
              <w:t>70～90</w:t>
            </w:r>
          </w:p>
        </w:tc>
        <w:tc>
          <w:tcPr>
            <w:tcW w:w="645" w:type="dxa"/>
            <w:tcBorders>
              <w:tl2br w:val="nil"/>
              <w:tr2bl w:val="nil"/>
            </w:tcBorders>
            <w:vAlign w:val="center"/>
          </w:tcPr>
          <w:p>
            <w:pPr>
              <w:pStyle w:val="13"/>
              <w:spacing w:line="360" w:lineRule="exact"/>
              <w:rPr>
                <w:color w:val="auto"/>
                <w:szCs w:val="21"/>
              </w:rPr>
            </w:pPr>
            <w:r>
              <w:rPr>
                <w:color w:val="auto"/>
                <w:szCs w:val="21"/>
              </w:rPr>
              <w:t>17</w:t>
            </w:r>
          </w:p>
        </w:tc>
        <w:tc>
          <w:tcPr>
            <w:tcW w:w="1740" w:type="dxa"/>
            <w:tcBorders>
              <w:tl2br w:val="nil"/>
              <w:tr2bl w:val="nil"/>
            </w:tcBorders>
            <w:vAlign w:val="center"/>
          </w:tcPr>
          <w:p>
            <w:pPr>
              <w:pStyle w:val="13"/>
              <w:spacing w:line="360" w:lineRule="exact"/>
              <w:rPr>
                <w:color w:val="auto"/>
                <w:szCs w:val="21"/>
              </w:rPr>
            </w:pPr>
            <w:r>
              <w:rPr>
                <w:color w:val="auto"/>
                <w:szCs w:val="21"/>
              </w:rPr>
              <w:t>部分室外、部分管廊下泵房内</w:t>
            </w:r>
          </w:p>
        </w:tc>
        <w:tc>
          <w:tcPr>
            <w:tcW w:w="795" w:type="dxa"/>
            <w:tcBorders>
              <w:tl2br w:val="nil"/>
              <w:tr2bl w:val="nil"/>
            </w:tcBorders>
            <w:vAlign w:val="center"/>
          </w:tcPr>
          <w:p>
            <w:pPr>
              <w:pStyle w:val="13"/>
              <w:spacing w:line="360" w:lineRule="exact"/>
              <w:rPr>
                <w:color w:val="auto"/>
                <w:szCs w:val="21"/>
              </w:rPr>
            </w:pPr>
            <w:r>
              <w:rPr>
                <w:color w:val="auto"/>
                <w:szCs w:val="21"/>
              </w:rPr>
              <w:t>连续</w:t>
            </w:r>
          </w:p>
        </w:tc>
        <w:tc>
          <w:tcPr>
            <w:tcW w:w="2189" w:type="dxa"/>
            <w:tcBorders>
              <w:tl2br w:val="nil"/>
              <w:tr2bl w:val="nil"/>
            </w:tcBorders>
            <w:vAlign w:val="center"/>
          </w:tcPr>
          <w:p>
            <w:pPr>
              <w:pStyle w:val="13"/>
              <w:spacing w:line="360" w:lineRule="exact"/>
              <w:rPr>
                <w:color w:val="auto"/>
                <w:szCs w:val="21"/>
              </w:rPr>
            </w:pPr>
            <w:r>
              <w:rPr>
                <w:color w:val="auto"/>
                <w:szCs w:val="21"/>
              </w:rPr>
              <w:t>隔声、消声、减震垫</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52" w:hRule="exact"/>
          <w:jc w:val="center"/>
        </w:trPr>
        <w:tc>
          <w:tcPr>
            <w:tcW w:w="632" w:type="dxa"/>
            <w:tcBorders>
              <w:tl2br w:val="nil"/>
              <w:tr2bl w:val="nil"/>
            </w:tcBorders>
            <w:vAlign w:val="center"/>
          </w:tcPr>
          <w:p>
            <w:pPr>
              <w:pStyle w:val="13"/>
              <w:spacing w:line="360" w:lineRule="exact"/>
              <w:rPr>
                <w:color w:val="auto"/>
                <w:szCs w:val="21"/>
              </w:rPr>
            </w:pPr>
            <w:r>
              <w:rPr>
                <w:color w:val="auto"/>
                <w:szCs w:val="21"/>
              </w:rPr>
              <w:t>4</w:t>
            </w:r>
          </w:p>
        </w:tc>
        <w:tc>
          <w:tcPr>
            <w:tcW w:w="1576" w:type="dxa"/>
            <w:tcBorders>
              <w:tl2br w:val="nil"/>
              <w:tr2bl w:val="nil"/>
            </w:tcBorders>
            <w:shd w:val="clear" w:color="auto" w:fill="auto"/>
            <w:vAlign w:val="center"/>
          </w:tcPr>
          <w:p>
            <w:pPr>
              <w:pStyle w:val="13"/>
              <w:spacing w:line="360" w:lineRule="exact"/>
              <w:rPr>
                <w:color w:val="auto"/>
                <w:szCs w:val="21"/>
              </w:rPr>
            </w:pPr>
            <w:r>
              <w:rPr>
                <w:color w:val="auto"/>
                <w:szCs w:val="21"/>
              </w:rPr>
              <w:t>空冷器</w:t>
            </w:r>
          </w:p>
        </w:tc>
        <w:tc>
          <w:tcPr>
            <w:tcW w:w="945" w:type="dxa"/>
            <w:tcBorders>
              <w:tl2br w:val="nil"/>
              <w:tr2bl w:val="nil"/>
            </w:tcBorders>
            <w:shd w:val="clear" w:color="auto" w:fill="auto"/>
            <w:vAlign w:val="center"/>
          </w:tcPr>
          <w:p>
            <w:pPr>
              <w:pStyle w:val="13"/>
              <w:spacing w:line="360" w:lineRule="exact"/>
              <w:rPr>
                <w:color w:val="auto"/>
                <w:szCs w:val="21"/>
              </w:rPr>
            </w:pPr>
            <w:r>
              <w:rPr>
                <w:color w:val="auto"/>
                <w:szCs w:val="21"/>
              </w:rPr>
              <w:t>70～90</w:t>
            </w:r>
          </w:p>
        </w:tc>
        <w:tc>
          <w:tcPr>
            <w:tcW w:w="645" w:type="dxa"/>
            <w:tcBorders>
              <w:tl2br w:val="nil"/>
              <w:tr2bl w:val="nil"/>
            </w:tcBorders>
            <w:shd w:val="clear" w:color="auto" w:fill="auto"/>
            <w:vAlign w:val="center"/>
          </w:tcPr>
          <w:p>
            <w:pPr>
              <w:pStyle w:val="13"/>
              <w:spacing w:line="360" w:lineRule="exact"/>
              <w:rPr>
                <w:color w:val="auto"/>
                <w:szCs w:val="21"/>
              </w:rPr>
            </w:pPr>
            <w:r>
              <w:rPr>
                <w:color w:val="auto"/>
                <w:szCs w:val="21"/>
              </w:rPr>
              <w:t>4</w:t>
            </w:r>
          </w:p>
        </w:tc>
        <w:tc>
          <w:tcPr>
            <w:tcW w:w="1740" w:type="dxa"/>
            <w:tcBorders>
              <w:tl2br w:val="nil"/>
              <w:tr2bl w:val="nil"/>
            </w:tcBorders>
            <w:shd w:val="clear" w:color="auto" w:fill="auto"/>
            <w:vAlign w:val="center"/>
          </w:tcPr>
          <w:p>
            <w:pPr>
              <w:pStyle w:val="13"/>
              <w:spacing w:line="360" w:lineRule="exact"/>
              <w:rPr>
                <w:color w:val="auto"/>
                <w:szCs w:val="21"/>
              </w:rPr>
            </w:pPr>
            <w:r>
              <w:rPr>
                <w:color w:val="auto"/>
                <w:szCs w:val="21"/>
              </w:rPr>
              <w:t>室外、管廊下</w:t>
            </w:r>
          </w:p>
        </w:tc>
        <w:tc>
          <w:tcPr>
            <w:tcW w:w="795" w:type="dxa"/>
            <w:tcBorders>
              <w:tl2br w:val="nil"/>
              <w:tr2bl w:val="nil"/>
            </w:tcBorders>
            <w:vAlign w:val="center"/>
          </w:tcPr>
          <w:p>
            <w:pPr>
              <w:pStyle w:val="13"/>
              <w:spacing w:line="360" w:lineRule="exact"/>
              <w:rPr>
                <w:color w:val="auto"/>
                <w:szCs w:val="21"/>
              </w:rPr>
            </w:pPr>
            <w:r>
              <w:rPr>
                <w:color w:val="auto"/>
                <w:szCs w:val="21"/>
              </w:rPr>
              <w:t>连续</w:t>
            </w:r>
          </w:p>
        </w:tc>
        <w:tc>
          <w:tcPr>
            <w:tcW w:w="2189" w:type="dxa"/>
            <w:tcBorders>
              <w:tl2br w:val="nil"/>
              <w:tr2bl w:val="nil"/>
            </w:tcBorders>
            <w:vAlign w:val="center"/>
          </w:tcPr>
          <w:p>
            <w:pPr>
              <w:pStyle w:val="13"/>
              <w:spacing w:line="360" w:lineRule="exact"/>
              <w:rPr>
                <w:color w:val="auto"/>
                <w:szCs w:val="21"/>
              </w:rPr>
            </w:pPr>
            <w:r>
              <w:rPr>
                <w:color w:val="auto"/>
                <w:szCs w:val="21"/>
              </w:rPr>
              <w:t>低噪音风机、电机</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47" w:hRule="exact"/>
          <w:jc w:val="center"/>
        </w:trPr>
        <w:tc>
          <w:tcPr>
            <w:tcW w:w="8522" w:type="dxa"/>
            <w:gridSpan w:val="7"/>
            <w:tcBorders>
              <w:tl2br w:val="nil"/>
              <w:tr2bl w:val="nil"/>
            </w:tcBorders>
            <w:vAlign w:val="center"/>
          </w:tcPr>
          <w:p>
            <w:pPr>
              <w:pStyle w:val="13"/>
              <w:spacing w:line="360" w:lineRule="exact"/>
              <w:rPr>
                <w:color w:val="auto"/>
                <w:szCs w:val="21"/>
              </w:rPr>
            </w:pPr>
            <w:r>
              <w:rPr>
                <w:color w:val="auto"/>
                <w:szCs w:val="21"/>
              </w:rPr>
              <w:t>三个项目公用工程</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7" w:hRule="exact"/>
          <w:jc w:val="center"/>
        </w:trPr>
        <w:tc>
          <w:tcPr>
            <w:tcW w:w="632" w:type="dxa"/>
            <w:tcBorders>
              <w:tl2br w:val="nil"/>
              <w:tr2bl w:val="nil"/>
            </w:tcBorders>
            <w:vAlign w:val="center"/>
          </w:tcPr>
          <w:p>
            <w:pPr>
              <w:pStyle w:val="13"/>
              <w:spacing w:line="360" w:lineRule="exact"/>
              <w:rPr>
                <w:color w:val="auto"/>
                <w:szCs w:val="21"/>
              </w:rPr>
            </w:pPr>
            <w:r>
              <w:rPr>
                <w:color w:val="auto"/>
                <w:szCs w:val="21"/>
              </w:rPr>
              <w:t>1</w:t>
            </w:r>
          </w:p>
        </w:tc>
        <w:tc>
          <w:tcPr>
            <w:tcW w:w="1576" w:type="dxa"/>
            <w:tcBorders>
              <w:tl2br w:val="nil"/>
              <w:tr2bl w:val="nil"/>
            </w:tcBorders>
            <w:shd w:val="clear" w:color="auto" w:fill="auto"/>
            <w:vAlign w:val="center"/>
          </w:tcPr>
          <w:p>
            <w:pPr>
              <w:pStyle w:val="13"/>
              <w:spacing w:line="360" w:lineRule="exact"/>
              <w:rPr>
                <w:color w:val="auto"/>
                <w:szCs w:val="21"/>
              </w:rPr>
            </w:pPr>
            <w:r>
              <w:rPr>
                <w:color w:val="auto"/>
                <w:szCs w:val="21"/>
              </w:rPr>
              <w:t>空冷器</w:t>
            </w:r>
          </w:p>
        </w:tc>
        <w:tc>
          <w:tcPr>
            <w:tcW w:w="945" w:type="dxa"/>
            <w:tcBorders>
              <w:tl2br w:val="nil"/>
              <w:tr2bl w:val="nil"/>
            </w:tcBorders>
            <w:shd w:val="clear" w:color="auto" w:fill="auto"/>
            <w:vAlign w:val="center"/>
          </w:tcPr>
          <w:p>
            <w:pPr>
              <w:pStyle w:val="13"/>
              <w:spacing w:line="360" w:lineRule="exact"/>
              <w:rPr>
                <w:color w:val="auto"/>
                <w:szCs w:val="21"/>
              </w:rPr>
            </w:pPr>
            <w:r>
              <w:rPr>
                <w:color w:val="auto"/>
                <w:szCs w:val="21"/>
              </w:rPr>
              <w:t>70～90</w:t>
            </w:r>
          </w:p>
        </w:tc>
        <w:tc>
          <w:tcPr>
            <w:tcW w:w="645" w:type="dxa"/>
            <w:tcBorders>
              <w:tl2br w:val="nil"/>
              <w:tr2bl w:val="nil"/>
            </w:tcBorders>
            <w:shd w:val="clear" w:color="auto" w:fill="auto"/>
            <w:vAlign w:val="center"/>
          </w:tcPr>
          <w:p>
            <w:pPr>
              <w:pStyle w:val="13"/>
              <w:spacing w:line="360" w:lineRule="exact"/>
              <w:rPr>
                <w:color w:val="auto"/>
                <w:szCs w:val="21"/>
              </w:rPr>
            </w:pPr>
            <w:r>
              <w:rPr>
                <w:color w:val="auto"/>
                <w:szCs w:val="21"/>
              </w:rPr>
              <w:t>5</w:t>
            </w:r>
          </w:p>
        </w:tc>
        <w:tc>
          <w:tcPr>
            <w:tcW w:w="1740" w:type="dxa"/>
            <w:tcBorders>
              <w:tl2br w:val="nil"/>
              <w:tr2bl w:val="nil"/>
            </w:tcBorders>
            <w:shd w:val="clear" w:color="auto" w:fill="auto"/>
            <w:vAlign w:val="center"/>
          </w:tcPr>
          <w:p>
            <w:pPr>
              <w:pStyle w:val="13"/>
              <w:spacing w:line="360" w:lineRule="exact"/>
              <w:rPr>
                <w:color w:val="auto"/>
                <w:szCs w:val="21"/>
              </w:rPr>
            </w:pPr>
            <w:r>
              <w:rPr>
                <w:color w:val="auto"/>
                <w:szCs w:val="21"/>
              </w:rPr>
              <w:t>管廊下</w:t>
            </w:r>
          </w:p>
        </w:tc>
        <w:tc>
          <w:tcPr>
            <w:tcW w:w="795" w:type="dxa"/>
            <w:tcBorders>
              <w:tl2br w:val="nil"/>
              <w:tr2bl w:val="nil"/>
            </w:tcBorders>
            <w:vAlign w:val="center"/>
          </w:tcPr>
          <w:p>
            <w:pPr>
              <w:pStyle w:val="13"/>
              <w:spacing w:line="360" w:lineRule="exact"/>
              <w:rPr>
                <w:color w:val="auto"/>
                <w:szCs w:val="21"/>
              </w:rPr>
            </w:pPr>
            <w:r>
              <w:rPr>
                <w:color w:val="auto"/>
                <w:szCs w:val="21"/>
              </w:rPr>
              <w:t>连续</w:t>
            </w:r>
          </w:p>
        </w:tc>
        <w:tc>
          <w:tcPr>
            <w:tcW w:w="2189" w:type="dxa"/>
            <w:tcBorders>
              <w:tl2br w:val="nil"/>
              <w:tr2bl w:val="nil"/>
            </w:tcBorders>
            <w:vAlign w:val="center"/>
          </w:tcPr>
          <w:p>
            <w:pPr>
              <w:pStyle w:val="13"/>
              <w:spacing w:line="360" w:lineRule="exact"/>
              <w:rPr>
                <w:color w:val="auto"/>
                <w:szCs w:val="21"/>
              </w:rPr>
            </w:pPr>
            <w:r>
              <w:rPr>
                <w:color w:val="auto"/>
                <w:szCs w:val="21"/>
              </w:rPr>
              <w:t>低噪声风机、电机</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42" w:hRule="exact"/>
          <w:jc w:val="center"/>
        </w:trPr>
        <w:tc>
          <w:tcPr>
            <w:tcW w:w="632" w:type="dxa"/>
            <w:vAlign w:val="center"/>
          </w:tcPr>
          <w:p>
            <w:pPr>
              <w:pStyle w:val="13"/>
              <w:spacing w:line="360" w:lineRule="exact"/>
              <w:rPr>
                <w:color w:val="auto"/>
                <w:szCs w:val="21"/>
              </w:rPr>
            </w:pPr>
            <w:r>
              <w:rPr>
                <w:color w:val="auto"/>
                <w:szCs w:val="21"/>
              </w:rPr>
              <w:t>2</w:t>
            </w:r>
          </w:p>
        </w:tc>
        <w:tc>
          <w:tcPr>
            <w:tcW w:w="1576" w:type="dxa"/>
            <w:shd w:val="clear" w:color="auto" w:fill="auto"/>
            <w:vAlign w:val="center"/>
          </w:tcPr>
          <w:p>
            <w:pPr>
              <w:pStyle w:val="13"/>
              <w:spacing w:line="360" w:lineRule="exact"/>
              <w:rPr>
                <w:color w:val="auto"/>
                <w:szCs w:val="21"/>
              </w:rPr>
            </w:pPr>
            <w:r>
              <w:rPr>
                <w:color w:val="auto"/>
                <w:szCs w:val="21"/>
              </w:rPr>
              <w:t>各类泵</w:t>
            </w:r>
          </w:p>
        </w:tc>
        <w:tc>
          <w:tcPr>
            <w:tcW w:w="945" w:type="dxa"/>
            <w:shd w:val="clear" w:color="auto" w:fill="auto"/>
            <w:vAlign w:val="center"/>
          </w:tcPr>
          <w:p>
            <w:pPr>
              <w:pStyle w:val="13"/>
              <w:spacing w:line="360" w:lineRule="exact"/>
              <w:rPr>
                <w:color w:val="auto"/>
                <w:szCs w:val="21"/>
              </w:rPr>
            </w:pPr>
            <w:r>
              <w:rPr>
                <w:color w:val="auto"/>
                <w:szCs w:val="21"/>
              </w:rPr>
              <w:t>70～90</w:t>
            </w:r>
          </w:p>
        </w:tc>
        <w:tc>
          <w:tcPr>
            <w:tcW w:w="645" w:type="dxa"/>
            <w:shd w:val="clear" w:color="auto" w:fill="auto"/>
            <w:vAlign w:val="center"/>
          </w:tcPr>
          <w:p>
            <w:pPr>
              <w:pStyle w:val="13"/>
              <w:spacing w:line="360" w:lineRule="exact"/>
              <w:rPr>
                <w:color w:val="auto"/>
                <w:szCs w:val="21"/>
              </w:rPr>
            </w:pPr>
            <w:r>
              <w:rPr>
                <w:color w:val="auto"/>
                <w:szCs w:val="21"/>
              </w:rPr>
              <w:t>102</w:t>
            </w:r>
          </w:p>
        </w:tc>
        <w:tc>
          <w:tcPr>
            <w:tcW w:w="1740" w:type="dxa"/>
            <w:shd w:val="clear" w:color="auto" w:fill="auto"/>
            <w:vAlign w:val="center"/>
          </w:tcPr>
          <w:p>
            <w:pPr>
              <w:pStyle w:val="13"/>
              <w:spacing w:line="360" w:lineRule="exact"/>
              <w:rPr>
                <w:color w:val="auto"/>
                <w:szCs w:val="21"/>
              </w:rPr>
            </w:pPr>
            <w:r>
              <w:rPr>
                <w:color w:val="auto"/>
                <w:szCs w:val="21"/>
              </w:rPr>
              <w:t>部分室外、部分管廊下泵房内</w:t>
            </w:r>
          </w:p>
        </w:tc>
        <w:tc>
          <w:tcPr>
            <w:tcW w:w="795" w:type="dxa"/>
            <w:vAlign w:val="center"/>
          </w:tcPr>
          <w:p>
            <w:pPr>
              <w:pStyle w:val="13"/>
              <w:spacing w:line="360" w:lineRule="exact"/>
              <w:rPr>
                <w:color w:val="auto"/>
                <w:szCs w:val="21"/>
              </w:rPr>
            </w:pPr>
            <w:r>
              <w:rPr>
                <w:color w:val="auto"/>
                <w:szCs w:val="21"/>
              </w:rPr>
              <w:t>连续</w:t>
            </w:r>
          </w:p>
        </w:tc>
        <w:tc>
          <w:tcPr>
            <w:tcW w:w="2189" w:type="dxa"/>
            <w:vAlign w:val="center"/>
          </w:tcPr>
          <w:p>
            <w:pPr>
              <w:pStyle w:val="13"/>
              <w:spacing w:line="360" w:lineRule="exact"/>
              <w:rPr>
                <w:color w:val="auto"/>
                <w:szCs w:val="21"/>
              </w:rPr>
            </w:pPr>
            <w:r>
              <w:rPr>
                <w:color w:val="auto"/>
                <w:szCs w:val="21"/>
              </w:rPr>
              <w:t>低噪声电机、减震</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62" w:hRule="exact"/>
          <w:jc w:val="center"/>
        </w:trPr>
        <w:tc>
          <w:tcPr>
            <w:tcW w:w="632" w:type="dxa"/>
            <w:vAlign w:val="center"/>
          </w:tcPr>
          <w:p>
            <w:pPr>
              <w:pStyle w:val="13"/>
              <w:spacing w:line="360" w:lineRule="exact"/>
              <w:rPr>
                <w:color w:val="auto"/>
                <w:szCs w:val="21"/>
              </w:rPr>
            </w:pPr>
            <w:r>
              <w:rPr>
                <w:color w:val="auto"/>
                <w:szCs w:val="21"/>
              </w:rPr>
              <w:t>3</w:t>
            </w:r>
          </w:p>
        </w:tc>
        <w:tc>
          <w:tcPr>
            <w:tcW w:w="1576" w:type="dxa"/>
            <w:shd w:val="clear" w:color="auto" w:fill="auto"/>
            <w:vAlign w:val="center"/>
          </w:tcPr>
          <w:p>
            <w:pPr>
              <w:pStyle w:val="13"/>
              <w:spacing w:line="360" w:lineRule="exact"/>
              <w:rPr>
                <w:color w:val="auto"/>
                <w:szCs w:val="21"/>
              </w:rPr>
            </w:pPr>
            <w:r>
              <w:rPr>
                <w:color w:val="auto"/>
                <w:szCs w:val="21"/>
              </w:rPr>
              <w:t>搅拌器</w:t>
            </w:r>
          </w:p>
        </w:tc>
        <w:tc>
          <w:tcPr>
            <w:tcW w:w="945" w:type="dxa"/>
            <w:shd w:val="clear" w:color="auto" w:fill="auto"/>
            <w:vAlign w:val="center"/>
          </w:tcPr>
          <w:p>
            <w:pPr>
              <w:pStyle w:val="13"/>
              <w:spacing w:line="360" w:lineRule="exact"/>
              <w:rPr>
                <w:color w:val="auto"/>
                <w:szCs w:val="21"/>
              </w:rPr>
            </w:pPr>
            <w:r>
              <w:rPr>
                <w:color w:val="auto"/>
                <w:szCs w:val="21"/>
              </w:rPr>
              <w:t>75～92</w:t>
            </w:r>
          </w:p>
        </w:tc>
        <w:tc>
          <w:tcPr>
            <w:tcW w:w="645" w:type="dxa"/>
            <w:shd w:val="clear" w:color="auto" w:fill="auto"/>
            <w:vAlign w:val="center"/>
          </w:tcPr>
          <w:p>
            <w:pPr>
              <w:pStyle w:val="13"/>
              <w:spacing w:line="360" w:lineRule="exact"/>
              <w:rPr>
                <w:color w:val="auto"/>
                <w:szCs w:val="21"/>
              </w:rPr>
            </w:pPr>
            <w:r>
              <w:rPr>
                <w:color w:val="auto"/>
                <w:szCs w:val="21"/>
              </w:rPr>
              <w:t>11</w:t>
            </w:r>
          </w:p>
        </w:tc>
        <w:tc>
          <w:tcPr>
            <w:tcW w:w="1740" w:type="dxa"/>
            <w:shd w:val="clear" w:color="auto" w:fill="auto"/>
            <w:vAlign w:val="center"/>
          </w:tcPr>
          <w:p>
            <w:pPr>
              <w:pStyle w:val="13"/>
              <w:spacing w:line="360" w:lineRule="exact"/>
              <w:rPr>
                <w:color w:val="auto"/>
                <w:szCs w:val="21"/>
              </w:rPr>
            </w:pPr>
            <w:r>
              <w:rPr>
                <w:color w:val="auto"/>
                <w:szCs w:val="21"/>
              </w:rPr>
              <w:t>室内</w:t>
            </w:r>
          </w:p>
        </w:tc>
        <w:tc>
          <w:tcPr>
            <w:tcW w:w="795" w:type="dxa"/>
            <w:vAlign w:val="center"/>
          </w:tcPr>
          <w:p>
            <w:pPr>
              <w:pStyle w:val="13"/>
              <w:spacing w:line="360" w:lineRule="exact"/>
              <w:rPr>
                <w:color w:val="auto"/>
                <w:szCs w:val="21"/>
              </w:rPr>
            </w:pPr>
            <w:r>
              <w:rPr>
                <w:color w:val="auto"/>
                <w:szCs w:val="21"/>
              </w:rPr>
              <w:t>连续</w:t>
            </w:r>
          </w:p>
        </w:tc>
        <w:tc>
          <w:tcPr>
            <w:tcW w:w="2189" w:type="dxa"/>
            <w:vAlign w:val="center"/>
          </w:tcPr>
          <w:p>
            <w:pPr>
              <w:pStyle w:val="13"/>
              <w:spacing w:line="360" w:lineRule="exact"/>
              <w:rPr>
                <w:color w:val="auto"/>
                <w:szCs w:val="21"/>
              </w:rPr>
            </w:pPr>
            <w:r>
              <w:rPr>
                <w:color w:val="auto"/>
                <w:szCs w:val="21"/>
              </w:rPr>
              <w:t>低噪声风机</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32" w:type="dxa"/>
            <w:vAlign w:val="center"/>
          </w:tcPr>
          <w:p>
            <w:pPr>
              <w:pStyle w:val="13"/>
              <w:spacing w:line="360" w:lineRule="exact"/>
              <w:rPr>
                <w:color w:val="auto"/>
                <w:szCs w:val="21"/>
              </w:rPr>
            </w:pPr>
            <w:r>
              <w:rPr>
                <w:color w:val="auto"/>
                <w:szCs w:val="21"/>
              </w:rPr>
              <w:t>4</w:t>
            </w:r>
          </w:p>
        </w:tc>
        <w:tc>
          <w:tcPr>
            <w:tcW w:w="1576" w:type="dxa"/>
            <w:shd w:val="clear" w:color="auto" w:fill="auto"/>
            <w:vAlign w:val="center"/>
          </w:tcPr>
          <w:p>
            <w:pPr>
              <w:pStyle w:val="13"/>
              <w:spacing w:line="360" w:lineRule="exact"/>
              <w:rPr>
                <w:color w:val="auto"/>
                <w:szCs w:val="21"/>
              </w:rPr>
            </w:pPr>
            <w:r>
              <w:rPr>
                <w:color w:val="auto"/>
                <w:szCs w:val="21"/>
              </w:rPr>
              <w:t>空压机</w:t>
            </w:r>
          </w:p>
        </w:tc>
        <w:tc>
          <w:tcPr>
            <w:tcW w:w="945" w:type="dxa"/>
            <w:shd w:val="clear" w:color="auto" w:fill="auto"/>
            <w:vAlign w:val="center"/>
          </w:tcPr>
          <w:p>
            <w:pPr>
              <w:pStyle w:val="13"/>
              <w:spacing w:line="360" w:lineRule="exact"/>
              <w:rPr>
                <w:color w:val="auto"/>
                <w:szCs w:val="21"/>
              </w:rPr>
            </w:pPr>
            <w:r>
              <w:rPr>
                <w:color w:val="auto"/>
                <w:szCs w:val="21"/>
              </w:rPr>
              <w:t>90～110</w:t>
            </w:r>
          </w:p>
        </w:tc>
        <w:tc>
          <w:tcPr>
            <w:tcW w:w="645" w:type="dxa"/>
            <w:shd w:val="clear" w:color="auto" w:fill="auto"/>
            <w:vAlign w:val="center"/>
          </w:tcPr>
          <w:p>
            <w:pPr>
              <w:pStyle w:val="13"/>
              <w:spacing w:line="360" w:lineRule="exact"/>
              <w:rPr>
                <w:color w:val="auto"/>
                <w:szCs w:val="21"/>
              </w:rPr>
            </w:pPr>
            <w:r>
              <w:rPr>
                <w:color w:val="auto"/>
                <w:szCs w:val="21"/>
              </w:rPr>
              <w:t>6</w:t>
            </w:r>
          </w:p>
        </w:tc>
        <w:tc>
          <w:tcPr>
            <w:tcW w:w="1740" w:type="dxa"/>
            <w:shd w:val="clear" w:color="auto" w:fill="auto"/>
            <w:vAlign w:val="center"/>
          </w:tcPr>
          <w:p>
            <w:pPr>
              <w:pStyle w:val="13"/>
              <w:spacing w:line="360" w:lineRule="exact"/>
              <w:rPr>
                <w:color w:val="auto"/>
                <w:szCs w:val="21"/>
              </w:rPr>
            </w:pPr>
            <w:r>
              <w:rPr>
                <w:color w:val="auto"/>
                <w:szCs w:val="21"/>
              </w:rPr>
              <w:t>厂房内、室内</w:t>
            </w:r>
          </w:p>
        </w:tc>
        <w:tc>
          <w:tcPr>
            <w:tcW w:w="795" w:type="dxa"/>
            <w:vAlign w:val="center"/>
          </w:tcPr>
          <w:p>
            <w:pPr>
              <w:pStyle w:val="13"/>
              <w:spacing w:line="360" w:lineRule="exact"/>
              <w:rPr>
                <w:color w:val="auto"/>
                <w:szCs w:val="21"/>
              </w:rPr>
            </w:pPr>
            <w:r>
              <w:rPr>
                <w:color w:val="auto"/>
                <w:szCs w:val="21"/>
              </w:rPr>
              <w:t>连续</w:t>
            </w:r>
          </w:p>
        </w:tc>
        <w:tc>
          <w:tcPr>
            <w:tcW w:w="2189" w:type="dxa"/>
            <w:vAlign w:val="center"/>
          </w:tcPr>
          <w:p>
            <w:pPr>
              <w:pStyle w:val="13"/>
              <w:spacing w:line="360" w:lineRule="exact"/>
              <w:rPr>
                <w:color w:val="auto"/>
                <w:szCs w:val="21"/>
              </w:rPr>
            </w:pPr>
            <w:r>
              <w:rPr>
                <w:color w:val="auto"/>
                <w:szCs w:val="21"/>
              </w:rPr>
              <w:t>低噪声风机、电机</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67" w:hRule="exact"/>
          <w:jc w:val="center"/>
        </w:trPr>
        <w:tc>
          <w:tcPr>
            <w:tcW w:w="632" w:type="dxa"/>
            <w:vAlign w:val="center"/>
          </w:tcPr>
          <w:p>
            <w:pPr>
              <w:pStyle w:val="13"/>
              <w:spacing w:line="360" w:lineRule="exact"/>
              <w:rPr>
                <w:color w:val="auto"/>
                <w:szCs w:val="21"/>
              </w:rPr>
            </w:pPr>
            <w:r>
              <w:rPr>
                <w:color w:val="auto"/>
                <w:szCs w:val="21"/>
              </w:rPr>
              <w:t>5</w:t>
            </w:r>
          </w:p>
        </w:tc>
        <w:tc>
          <w:tcPr>
            <w:tcW w:w="1576" w:type="dxa"/>
            <w:shd w:val="clear" w:color="auto" w:fill="auto"/>
            <w:vAlign w:val="center"/>
          </w:tcPr>
          <w:p>
            <w:pPr>
              <w:pStyle w:val="13"/>
              <w:spacing w:line="360" w:lineRule="exact"/>
              <w:rPr>
                <w:color w:val="auto"/>
                <w:szCs w:val="21"/>
              </w:rPr>
            </w:pPr>
            <w:r>
              <w:rPr>
                <w:color w:val="auto"/>
                <w:szCs w:val="21"/>
              </w:rPr>
              <w:t>造粒机、包装机、撬装、刮泥机等</w:t>
            </w:r>
          </w:p>
        </w:tc>
        <w:tc>
          <w:tcPr>
            <w:tcW w:w="945" w:type="dxa"/>
            <w:shd w:val="clear" w:color="auto" w:fill="auto"/>
            <w:vAlign w:val="center"/>
          </w:tcPr>
          <w:p>
            <w:pPr>
              <w:pStyle w:val="13"/>
              <w:spacing w:line="360" w:lineRule="exact"/>
              <w:rPr>
                <w:color w:val="auto"/>
                <w:szCs w:val="21"/>
              </w:rPr>
            </w:pPr>
            <w:r>
              <w:rPr>
                <w:color w:val="auto"/>
                <w:szCs w:val="21"/>
              </w:rPr>
              <w:t>70～90</w:t>
            </w:r>
          </w:p>
        </w:tc>
        <w:tc>
          <w:tcPr>
            <w:tcW w:w="645" w:type="dxa"/>
            <w:shd w:val="clear" w:color="auto" w:fill="auto"/>
            <w:vAlign w:val="center"/>
          </w:tcPr>
          <w:p>
            <w:pPr>
              <w:pStyle w:val="13"/>
              <w:spacing w:line="360" w:lineRule="exact"/>
              <w:rPr>
                <w:color w:val="auto"/>
                <w:szCs w:val="21"/>
              </w:rPr>
            </w:pPr>
            <w:r>
              <w:rPr>
                <w:color w:val="auto"/>
                <w:szCs w:val="21"/>
              </w:rPr>
              <w:t>12</w:t>
            </w:r>
          </w:p>
        </w:tc>
        <w:tc>
          <w:tcPr>
            <w:tcW w:w="1740" w:type="dxa"/>
            <w:shd w:val="clear" w:color="auto" w:fill="auto"/>
            <w:vAlign w:val="center"/>
          </w:tcPr>
          <w:p>
            <w:pPr>
              <w:pStyle w:val="13"/>
              <w:spacing w:line="360" w:lineRule="exact"/>
              <w:rPr>
                <w:color w:val="auto"/>
                <w:szCs w:val="21"/>
              </w:rPr>
            </w:pPr>
            <w:r>
              <w:rPr>
                <w:color w:val="auto"/>
                <w:szCs w:val="21"/>
              </w:rPr>
              <w:t>室内、室外</w:t>
            </w:r>
          </w:p>
        </w:tc>
        <w:tc>
          <w:tcPr>
            <w:tcW w:w="795" w:type="dxa"/>
            <w:vAlign w:val="center"/>
          </w:tcPr>
          <w:p>
            <w:pPr>
              <w:pStyle w:val="13"/>
              <w:spacing w:line="360" w:lineRule="exact"/>
              <w:rPr>
                <w:color w:val="auto"/>
                <w:szCs w:val="21"/>
              </w:rPr>
            </w:pPr>
            <w:r>
              <w:rPr>
                <w:color w:val="auto"/>
                <w:szCs w:val="21"/>
              </w:rPr>
              <w:t>连续</w:t>
            </w:r>
          </w:p>
          <w:p>
            <w:pPr>
              <w:pStyle w:val="13"/>
              <w:spacing w:line="360" w:lineRule="exact"/>
              <w:rPr>
                <w:color w:val="auto"/>
                <w:szCs w:val="21"/>
              </w:rPr>
            </w:pPr>
            <w:r>
              <w:rPr>
                <w:color w:val="auto"/>
                <w:szCs w:val="21"/>
              </w:rPr>
              <w:t>间断</w:t>
            </w:r>
          </w:p>
        </w:tc>
        <w:tc>
          <w:tcPr>
            <w:tcW w:w="2189" w:type="dxa"/>
            <w:vAlign w:val="center"/>
          </w:tcPr>
          <w:p>
            <w:pPr>
              <w:pStyle w:val="13"/>
              <w:spacing w:line="360" w:lineRule="exact"/>
              <w:rPr>
                <w:color w:val="auto"/>
                <w:szCs w:val="21"/>
              </w:rPr>
            </w:pPr>
            <w:r>
              <w:rPr>
                <w:color w:val="auto"/>
                <w:szCs w:val="21"/>
              </w:rPr>
              <w:t>隔声、消声、减震</w:t>
            </w:r>
          </w:p>
        </w:tc>
      </w:tr>
    </w:tbl>
    <w:p>
      <w:pPr>
        <w:pStyle w:val="3"/>
      </w:pPr>
      <w:r>
        <w:t>4.2  固体废物处置情况检查</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Theme="minorEastAsia" w:hAnsiTheme="minorEastAsia" w:eastAsiaTheme="minorEastAsia" w:cstheme="minorEastAsia"/>
          <w:b/>
          <w:bCs/>
          <w:sz w:val="24"/>
          <w:szCs w:val="24"/>
          <w:u w:val="single"/>
          <w:lang w:val="zh-CN" w:eastAsia="zh-CN"/>
        </w:rPr>
      </w:pPr>
      <w:r>
        <w:rPr>
          <w:rFonts w:hint="eastAsia" w:asciiTheme="minorEastAsia" w:hAnsiTheme="minorEastAsia" w:eastAsiaTheme="minorEastAsia" w:cstheme="minorEastAsia"/>
          <w:b/>
          <w:bCs/>
          <w:sz w:val="24"/>
          <w:szCs w:val="24"/>
          <w:u w:val="single"/>
          <w:lang w:val="zh-CN" w:eastAsia="zh-CN"/>
        </w:rPr>
        <w:t>本工程固体废物包括一般固废和危险固废，危险固废主要为部分废催化剂、废碱渣、废吸附剂、污水处理剩余污泥等，一般固废为部分废催化剂、废吸附剂、废保护球及生活垃圾等。项目固废产生及治理情况见表</w:t>
      </w:r>
      <w:r>
        <w:rPr>
          <w:rFonts w:hint="eastAsia" w:asciiTheme="minorEastAsia" w:hAnsiTheme="minorEastAsia" w:eastAsiaTheme="minorEastAsia" w:cstheme="minorEastAsia"/>
          <w:b/>
          <w:bCs/>
          <w:sz w:val="24"/>
          <w:szCs w:val="24"/>
          <w:u w:val="single"/>
          <w:lang w:val="en-US" w:eastAsia="zh-CN"/>
        </w:rPr>
        <w:t>4</w:t>
      </w:r>
      <w:r>
        <w:rPr>
          <w:rFonts w:hint="eastAsia" w:asciiTheme="minorEastAsia" w:hAnsiTheme="minorEastAsia" w:eastAsiaTheme="minorEastAsia" w:cstheme="minorEastAsia"/>
          <w:b/>
          <w:bCs/>
          <w:sz w:val="24"/>
          <w:szCs w:val="24"/>
          <w:u w:val="single"/>
          <w:lang w:val="zh-CN" w:eastAsia="zh-CN"/>
        </w:rPr>
        <w:t>。本项目已于南阳璋鑫化工有限公司、尉氏县鑫源钼业有限公司、河南宁泰环保科技有限公司、南阳市油田振兴特种油品有限公司等签定危废处理协议，见附件</w:t>
      </w:r>
      <w:r>
        <w:rPr>
          <w:rFonts w:hint="eastAsia" w:asciiTheme="minorEastAsia" w:hAnsiTheme="minorEastAsia" w:eastAsiaTheme="minorEastAsia" w:cstheme="minorEastAsia"/>
          <w:b/>
          <w:bCs/>
          <w:sz w:val="24"/>
          <w:szCs w:val="24"/>
          <w:u w:val="single"/>
          <w:lang w:val="en-US" w:eastAsia="zh-CN"/>
        </w:rPr>
        <w:t>1，危废治理设施见附图5</w:t>
      </w:r>
      <w:r>
        <w:rPr>
          <w:rFonts w:hint="eastAsia" w:asciiTheme="minorEastAsia" w:hAnsiTheme="minorEastAsia" w:eastAsiaTheme="minorEastAsia" w:cstheme="minorEastAsia"/>
          <w:b/>
          <w:bCs/>
          <w:sz w:val="24"/>
          <w:szCs w:val="24"/>
          <w:u w:val="single"/>
          <w:lang w:val="zh-CN" w:eastAsia="zh-CN"/>
        </w:rPr>
        <w:t>。危废转移联单见附件</w:t>
      </w:r>
      <w:r>
        <w:rPr>
          <w:rFonts w:hint="eastAsia" w:asciiTheme="minorEastAsia" w:hAnsiTheme="minorEastAsia" w:eastAsiaTheme="minorEastAsia" w:cstheme="minorEastAsia"/>
          <w:b/>
          <w:bCs/>
          <w:sz w:val="24"/>
          <w:szCs w:val="24"/>
          <w:u w:val="single"/>
          <w:lang w:val="en-US" w:eastAsia="zh-CN"/>
        </w:rPr>
        <w:t>4</w:t>
      </w:r>
      <w:r>
        <w:rPr>
          <w:rFonts w:hint="eastAsia" w:asciiTheme="minorEastAsia" w:hAnsiTheme="minorEastAsia" w:eastAsiaTheme="minorEastAsia" w:cstheme="minorEastAsia"/>
          <w:b/>
          <w:bCs/>
          <w:sz w:val="24"/>
          <w:szCs w:val="24"/>
          <w:u w:val="single"/>
          <w:lang w:val="zh-CN" w:eastAsia="zh-CN"/>
        </w:rPr>
        <w:t>。</w:t>
      </w:r>
    </w:p>
    <w:p>
      <w:pPr>
        <w:spacing w:after="120" w:afterLines="50"/>
        <w:ind w:firstLine="0" w:firstLineChars="0"/>
        <w:jc w:val="center"/>
        <w:rPr>
          <w:rFonts w:ascii="Times New Roman" w:hAnsi="Times New Roman"/>
          <w:b/>
          <w:bCs/>
          <w:color w:val="auto"/>
          <w:kern w:val="1"/>
          <w:szCs w:val="24"/>
          <w:u w:val="single"/>
        </w:rPr>
      </w:pPr>
      <w:bookmarkStart w:id="19" w:name="_Toc19363"/>
      <w:r>
        <w:rPr>
          <w:rFonts w:ascii="Times New Roman" w:hAnsi="Times New Roman"/>
          <w:b/>
          <w:bCs/>
          <w:color w:val="auto"/>
          <w:kern w:val="1"/>
          <w:szCs w:val="24"/>
          <w:u w:val="single"/>
        </w:rPr>
        <w:t>表</w:t>
      </w:r>
      <w:r>
        <w:rPr>
          <w:rFonts w:hint="eastAsia" w:ascii="Times New Roman" w:hAnsi="Times New Roman"/>
          <w:b/>
          <w:bCs/>
          <w:color w:val="auto"/>
          <w:kern w:val="1"/>
          <w:szCs w:val="24"/>
          <w:u w:val="single"/>
          <w:lang w:val="en-US" w:eastAsia="zh-CN"/>
        </w:rPr>
        <w:t>5</w:t>
      </w:r>
      <w:r>
        <w:rPr>
          <w:rFonts w:ascii="Times New Roman" w:hAnsi="Times New Roman"/>
          <w:b/>
          <w:bCs/>
          <w:color w:val="auto"/>
          <w:kern w:val="1"/>
          <w:szCs w:val="24"/>
          <w:u w:val="single"/>
        </w:rPr>
        <w:t xml:space="preserve">   项目固废产生及治理情况一览表</w:t>
      </w:r>
    </w:p>
    <w:tbl>
      <w:tblPr>
        <w:tblStyle w:val="10"/>
        <w:tblW w:w="8696" w:type="dxa"/>
        <w:tblInd w:w="0" w:type="dxa"/>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Layout w:type="fixed"/>
        <w:tblCellMar>
          <w:top w:w="0" w:type="dxa"/>
          <w:left w:w="28" w:type="dxa"/>
          <w:bottom w:w="0" w:type="dxa"/>
          <w:right w:w="28" w:type="dxa"/>
        </w:tblCellMar>
      </w:tblPr>
      <w:tblGrid>
        <w:gridCol w:w="1138"/>
        <w:gridCol w:w="1979"/>
        <w:gridCol w:w="1921"/>
        <w:gridCol w:w="1306"/>
        <w:gridCol w:w="2352"/>
      </w:tblGrid>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trHeight w:val="340" w:hRule="atLeast"/>
          <w:tblHeader/>
        </w:trPr>
        <w:tc>
          <w:tcPr>
            <w:tcW w:w="1138"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装置</w:t>
            </w:r>
          </w:p>
        </w:tc>
        <w:tc>
          <w:tcPr>
            <w:tcW w:w="1979"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污染源</w:t>
            </w:r>
          </w:p>
        </w:tc>
        <w:tc>
          <w:tcPr>
            <w:tcW w:w="1921"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名称</w:t>
            </w:r>
          </w:p>
        </w:tc>
        <w:tc>
          <w:tcPr>
            <w:tcW w:w="1306"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性质</w:t>
            </w:r>
          </w:p>
        </w:tc>
        <w:tc>
          <w:tcPr>
            <w:tcW w:w="2352"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处理/处置方式</w:t>
            </w: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138" w:type="dxa"/>
            <w:vMerge w:val="restart"/>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丙烯生产装置</w:t>
            </w:r>
          </w:p>
        </w:tc>
        <w:tc>
          <w:tcPr>
            <w:tcW w:w="1979"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废催化剂罐</w:t>
            </w:r>
          </w:p>
        </w:tc>
        <w:tc>
          <w:tcPr>
            <w:tcW w:w="1921" w:type="dxa"/>
            <w:vAlign w:val="center"/>
          </w:tcPr>
          <w:p>
            <w:pPr>
              <w:spacing w:line="360" w:lineRule="exact"/>
              <w:ind w:firstLine="0" w:firstLineChars="0"/>
              <w:jc w:val="center"/>
              <w:rPr>
                <w:rFonts w:ascii="Times New Roman" w:hAnsi="Times New Roman"/>
                <w:b/>
                <w:bCs/>
                <w:color w:val="FF0000"/>
                <w:kern w:val="1"/>
                <w:sz w:val="21"/>
                <w:szCs w:val="21"/>
                <w:u w:val="single"/>
              </w:rPr>
            </w:pPr>
            <w:r>
              <w:rPr>
                <w:rFonts w:ascii="Times New Roman" w:hAnsi="Times New Roman"/>
                <w:b/>
                <w:bCs/>
                <w:kern w:val="1"/>
                <w:sz w:val="21"/>
                <w:szCs w:val="21"/>
                <w:u w:val="single"/>
              </w:rPr>
              <w:t>废催化剂</w:t>
            </w:r>
          </w:p>
        </w:tc>
        <w:tc>
          <w:tcPr>
            <w:tcW w:w="1306" w:type="dxa"/>
            <w:vMerge w:val="restart"/>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危险固废</w:t>
            </w:r>
          </w:p>
        </w:tc>
        <w:tc>
          <w:tcPr>
            <w:tcW w:w="2352" w:type="dxa"/>
            <w:vMerge w:val="restart"/>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签订危废协议</w:t>
            </w: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138" w:type="dxa"/>
            <w:vMerge w:val="continue"/>
            <w:vAlign w:val="center"/>
          </w:tcPr>
          <w:p>
            <w:pPr>
              <w:spacing w:line="360" w:lineRule="exact"/>
              <w:ind w:firstLine="0" w:firstLineChars="0"/>
              <w:jc w:val="center"/>
              <w:rPr>
                <w:rFonts w:ascii="Times New Roman" w:hAnsi="Times New Roman"/>
                <w:b/>
                <w:bCs/>
                <w:kern w:val="1"/>
                <w:sz w:val="21"/>
                <w:szCs w:val="21"/>
                <w:u w:val="single"/>
              </w:rPr>
            </w:pPr>
          </w:p>
        </w:tc>
        <w:tc>
          <w:tcPr>
            <w:tcW w:w="1979"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碱液氧化塔</w:t>
            </w:r>
          </w:p>
        </w:tc>
        <w:tc>
          <w:tcPr>
            <w:tcW w:w="1921"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废碱渣</w:t>
            </w:r>
          </w:p>
        </w:tc>
        <w:tc>
          <w:tcPr>
            <w:tcW w:w="1306" w:type="dxa"/>
            <w:vMerge w:val="continue"/>
            <w:vAlign w:val="center"/>
          </w:tcPr>
          <w:p>
            <w:pPr>
              <w:spacing w:line="360" w:lineRule="exact"/>
              <w:ind w:firstLine="0" w:firstLineChars="0"/>
              <w:jc w:val="center"/>
              <w:rPr>
                <w:rFonts w:ascii="Times New Roman" w:hAnsi="Times New Roman"/>
                <w:b/>
                <w:bCs/>
                <w:kern w:val="1"/>
                <w:sz w:val="21"/>
                <w:szCs w:val="21"/>
                <w:u w:val="single"/>
              </w:rPr>
            </w:pPr>
          </w:p>
        </w:tc>
        <w:tc>
          <w:tcPr>
            <w:tcW w:w="2352" w:type="dxa"/>
            <w:vMerge w:val="continue"/>
            <w:vAlign w:val="center"/>
          </w:tcPr>
          <w:p>
            <w:pPr>
              <w:spacing w:line="360" w:lineRule="exact"/>
              <w:ind w:firstLine="0" w:firstLineChars="0"/>
              <w:jc w:val="center"/>
              <w:rPr>
                <w:rFonts w:ascii="Times New Roman" w:hAnsi="Times New Roman"/>
                <w:b/>
                <w:bCs/>
                <w:kern w:val="1"/>
                <w:sz w:val="21"/>
                <w:szCs w:val="21"/>
                <w:u w:val="single"/>
              </w:rPr>
            </w:pP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138" w:type="dxa"/>
            <w:vMerge w:val="continue"/>
            <w:vAlign w:val="center"/>
          </w:tcPr>
          <w:p>
            <w:pPr>
              <w:spacing w:line="360" w:lineRule="exact"/>
              <w:ind w:firstLine="0" w:firstLineChars="0"/>
              <w:jc w:val="center"/>
              <w:rPr>
                <w:rFonts w:ascii="Times New Roman" w:hAnsi="Times New Roman"/>
                <w:b/>
                <w:bCs/>
                <w:kern w:val="1"/>
                <w:sz w:val="21"/>
                <w:szCs w:val="21"/>
                <w:u w:val="single"/>
              </w:rPr>
            </w:pPr>
          </w:p>
        </w:tc>
        <w:tc>
          <w:tcPr>
            <w:tcW w:w="1979" w:type="dxa"/>
            <w:vAlign w:val="center"/>
          </w:tcPr>
          <w:p>
            <w:pPr>
              <w:spacing w:line="360" w:lineRule="exact"/>
              <w:ind w:firstLine="0" w:firstLineChars="0"/>
              <w:jc w:val="center"/>
              <w:rPr>
                <w:rFonts w:ascii="Times New Roman" w:hAnsi="Times New Roman"/>
                <w:b/>
                <w:bCs/>
                <w:kern w:val="1"/>
                <w:sz w:val="21"/>
                <w:szCs w:val="21"/>
                <w:u w:val="single"/>
              </w:rPr>
            </w:pPr>
            <w:r>
              <w:rPr>
                <w:rFonts w:hint="eastAsia" w:ascii="Times New Roman" w:hAnsi="Times New Roman"/>
                <w:b/>
                <w:bCs/>
                <w:kern w:val="1"/>
                <w:sz w:val="21"/>
                <w:szCs w:val="21"/>
                <w:u w:val="single"/>
              </w:rPr>
              <w:t>脱硫后沉淀物</w:t>
            </w:r>
          </w:p>
        </w:tc>
        <w:tc>
          <w:tcPr>
            <w:tcW w:w="1921" w:type="dxa"/>
            <w:vAlign w:val="center"/>
          </w:tcPr>
          <w:p>
            <w:pPr>
              <w:spacing w:line="360" w:lineRule="exact"/>
              <w:ind w:firstLine="0" w:firstLineChars="0"/>
              <w:jc w:val="center"/>
              <w:rPr>
                <w:rFonts w:ascii="Times New Roman" w:hAnsi="Times New Roman"/>
                <w:b/>
                <w:bCs/>
                <w:kern w:val="1"/>
                <w:sz w:val="21"/>
                <w:szCs w:val="21"/>
                <w:u w:val="single"/>
              </w:rPr>
            </w:pPr>
            <w:r>
              <w:rPr>
                <w:rFonts w:hint="eastAsia" w:ascii="Times New Roman" w:hAnsi="Times New Roman"/>
                <w:b/>
                <w:bCs/>
                <w:kern w:val="1"/>
                <w:sz w:val="21"/>
                <w:szCs w:val="21"/>
                <w:u w:val="single"/>
              </w:rPr>
              <w:t>含废催化剂</w:t>
            </w:r>
          </w:p>
        </w:tc>
        <w:tc>
          <w:tcPr>
            <w:tcW w:w="1306" w:type="dxa"/>
            <w:vMerge w:val="continue"/>
            <w:vAlign w:val="center"/>
          </w:tcPr>
          <w:p>
            <w:pPr>
              <w:spacing w:line="360" w:lineRule="exact"/>
              <w:ind w:firstLine="0" w:firstLineChars="0"/>
              <w:jc w:val="center"/>
              <w:rPr>
                <w:rFonts w:ascii="Times New Roman" w:hAnsi="Times New Roman"/>
                <w:b/>
                <w:bCs/>
                <w:kern w:val="1"/>
                <w:sz w:val="21"/>
                <w:szCs w:val="21"/>
                <w:u w:val="single"/>
              </w:rPr>
            </w:pPr>
          </w:p>
        </w:tc>
        <w:tc>
          <w:tcPr>
            <w:tcW w:w="2352" w:type="dxa"/>
            <w:vMerge w:val="continue"/>
            <w:vAlign w:val="center"/>
          </w:tcPr>
          <w:p>
            <w:pPr>
              <w:spacing w:line="360" w:lineRule="exact"/>
              <w:ind w:firstLine="0" w:firstLineChars="0"/>
              <w:jc w:val="center"/>
              <w:rPr>
                <w:rFonts w:ascii="Times New Roman" w:hAnsi="Times New Roman"/>
                <w:b/>
                <w:bCs/>
                <w:kern w:val="1"/>
                <w:sz w:val="21"/>
                <w:szCs w:val="21"/>
                <w:u w:val="single"/>
              </w:rPr>
            </w:pP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138" w:type="dxa"/>
            <w:vMerge w:val="restart"/>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MTBE</w:t>
            </w:r>
          </w:p>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装置</w:t>
            </w:r>
          </w:p>
        </w:tc>
        <w:tc>
          <w:tcPr>
            <w:tcW w:w="1979"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醚化反应器</w:t>
            </w:r>
          </w:p>
        </w:tc>
        <w:tc>
          <w:tcPr>
            <w:tcW w:w="1921"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废催化剂</w:t>
            </w:r>
          </w:p>
        </w:tc>
        <w:tc>
          <w:tcPr>
            <w:tcW w:w="1306" w:type="dxa"/>
            <w:vMerge w:val="continue"/>
            <w:vAlign w:val="center"/>
          </w:tcPr>
          <w:p>
            <w:pPr>
              <w:spacing w:line="360" w:lineRule="exact"/>
              <w:ind w:firstLine="0" w:firstLineChars="0"/>
              <w:jc w:val="center"/>
              <w:rPr>
                <w:rFonts w:ascii="Times New Roman" w:hAnsi="Times New Roman"/>
                <w:b/>
                <w:bCs/>
                <w:kern w:val="1"/>
                <w:sz w:val="21"/>
                <w:szCs w:val="21"/>
                <w:u w:val="single"/>
              </w:rPr>
            </w:pPr>
          </w:p>
        </w:tc>
        <w:tc>
          <w:tcPr>
            <w:tcW w:w="2352" w:type="dxa"/>
            <w:vMerge w:val="continue"/>
            <w:vAlign w:val="center"/>
          </w:tcPr>
          <w:p>
            <w:pPr>
              <w:spacing w:line="360" w:lineRule="exact"/>
              <w:ind w:firstLine="0" w:firstLineChars="0"/>
              <w:jc w:val="center"/>
              <w:rPr>
                <w:rFonts w:ascii="Times New Roman" w:hAnsi="Times New Roman"/>
                <w:b/>
                <w:bCs/>
                <w:kern w:val="1"/>
                <w:sz w:val="21"/>
                <w:szCs w:val="21"/>
                <w:u w:val="single"/>
              </w:rPr>
            </w:pP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138" w:type="dxa"/>
            <w:vMerge w:val="continue"/>
            <w:vAlign w:val="center"/>
          </w:tcPr>
          <w:p>
            <w:pPr>
              <w:spacing w:line="360" w:lineRule="exact"/>
              <w:ind w:firstLine="0" w:firstLineChars="0"/>
              <w:jc w:val="center"/>
              <w:rPr>
                <w:rFonts w:ascii="Times New Roman" w:hAnsi="Times New Roman"/>
                <w:b/>
                <w:bCs/>
                <w:kern w:val="1"/>
                <w:sz w:val="21"/>
                <w:szCs w:val="21"/>
                <w:u w:val="single"/>
              </w:rPr>
            </w:pPr>
          </w:p>
        </w:tc>
        <w:tc>
          <w:tcPr>
            <w:tcW w:w="1979"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催化蒸馏塔</w:t>
            </w:r>
          </w:p>
        </w:tc>
        <w:tc>
          <w:tcPr>
            <w:tcW w:w="1921"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废催化剂</w:t>
            </w:r>
          </w:p>
        </w:tc>
        <w:tc>
          <w:tcPr>
            <w:tcW w:w="1306" w:type="dxa"/>
            <w:vMerge w:val="continue"/>
            <w:tcBorders>
              <w:bottom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p>
        </w:tc>
        <w:tc>
          <w:tcPr>
            <w:tcW w:w="2352" w:type="dxa"/>
            <w:vMerge w:val="continue"/>
            <w:tcBorders>
              <w:bottom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138" w:type="dxa"/>
            <w:vMerge w:val="restart"/>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加氢</w:t>
            </w:r>
          </w:p>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脱硫</w:t>
            </w:r>
          </w:p>
        </w:tc>
        <w:tc>
          <w:tcPr>
            <w:tcW w:w="1979"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PSA吸附罐</w:t>
            </w:r>
          </w:p>
        </w:tc>
        <w:tc>
          <w:tcPr>
            <w:tcW w:w="1921"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废吸附剂</w:t>
            </w:r>
          </w:p>
        </w:tc>
        <w:tc>
          <w:tcPr>
            <w:tcW w:w="1306" w:type="dxa"/>
            <w:tcBorders>
              <w:top w:val="single" w:color="auto" w:sz="4" w:space="0"/>
              <w:bottom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r>
              <w:rPr>
                <w:rFonts w:hint="eastAsia" w:ascii="Times New Roman" w:hAnsi="Times New Roman"/>
                <w:b/>
                <w:bCs/>
                <w:kern w:val="1"/>
                <w:sz w:val="21"/>
                <w:szCs w:val="21"/>
                <w:u w:val="single"/>
              </w:rPr>
              <w:t>一般固废</w:t>
            </w:r>
          </w:p>
        </w:tc>
        <w:tc>
          <w:tcPr>
            <w:tcW w:w="2352" w:type="dxa"/>
            <w:tcBorders>
              <w:top w:val="single" w:color="auto" w:sz="4" w:space="0"/>
              <w:bottom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r>
              <w:rPr>
                <w:rFonts w:hint="eastAsia" w:ascii="Times New Roman" w:hAnsi="Times New Roman"/>
                <w:b/>
                <w:bCs/>
                <w:kern w:val="1"/>
                <w:sz w:val="21"/>
                <w:szCs w:val="21"/>
                <w:u w:val="single"/>
              </w:rPr>
              <w:t>厂家回收</w:t>
            </w: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138" w:type="dxa"/>
            <w:vMerge w:val="continue"/>
            <w:vAlign w:val="center"/>
          </w:tcPr>
          <w:p>
            <w:pPr>
              <w:spacing w:line="360" w:lineRule="exact"/>
              <w:ind w:firstLine="0" w:firstLineChars="0"/>
              <w:jc w:val="center"/>
              <w:rPr>
                <w:rFonts w:ascii="Times New Roman" w:hAnsi="Times New Roman"/>
                <w:b/>
                <w:bCs/>
                <w:kern w:val="1"/>
                <w:sz w:val="21"/>
                <w:szCs w:val="21"/>
                <w:u w:val="single"/>
              </w:rPr>
            </w:pPr>
          </w:p>
        </w:tc>
        <w:tc>
          <w:tcPr>
            <w:tcW w:w="1979"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加氢脱硫反应器</w:t>
            </w:r>
          </w:p>
        </w:tc>
        <w:tc>
          <w:tcPr>
            <w:tcW w:w="1921"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废催化剂</w:t>
            </w:r>
          </w:p>
        </w:tc>
        <w:tc>
          <w:tcPr>
            <w:tcW w:w="1306" w:type="dxa"/>
            <w:vMerge w:val="restart"/>
            <w:tcBorders>
              <w:top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危险固废</w:t>
            </w:r>
          </w:p>
        </w:tc>
        <w:tc>
          <w:tcPr>
            <w:tcW w:w="2352" w:type="dxa"/>
            <w:vMerge w:val="restart"/>
            <w:tcBorders>
              <w:top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签订危废协议</w:t>
            </w: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138" w:type="dxa"/>
            <w:vMerge w:val="restart"/>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硫磺回收装置</w:t>
            </w:r>
          </w:p>
        </w:tc>
        <w:tc>
          <w:tcPr>
            <w:tcW w:w="1979"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加氢反应器</w:t>
            </w:r>
          </w:p>
        </w:tc>
        <w:tc>
          <w:tcPr>
            <w:tcW w:w="1921" w:type="dxa"/>
            <w:tcBorders>
              <w:bottom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废催化剂</w:t>
            </w:r>
          </w:p>
        </w:tc>
        <w:tc>
          <w:tcPr>
            <w:tcW w:w="1306" w:type="dxa"/>
            <w:vMerge w:val="continue"/>
            <w:tcBorders>
              <w:bottom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p>
        </w:tc>
        <w:tc>
          <w:tcPr>
            <w:tcW w:w="2352" w:type="dxa"/>
            <w:vMerge w:val="continue"/>
            <w:tcBorders>
              <w:bottom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138" w:type="dxa"/>
            <w:vMerge w:val="continue"/>
            <w:vAlign w:val="center"/>
          </w:tcPr>
          <w:p>
            <w:pPr>
              <w:spacing w:line="360" w:lineRule="exact"/>
              <w:ind w:firstLine="0" w:firstLineChars="0"/>
              <w:jc w:val="center"/>
              <w:rPr>
                <w:rFonts w:ascii="Times New Roman" w:hAnsi="Times New Roman"/>
                <w:b/>
                <w:bCs/>
                <w:kern w:val="1"/>
                <w:sz w:val="21"/>
                <w:szCs w:val="21"/>
                <w:u w:val="single"/>
              </w:rPr>
            </w:pPr>
          </w:p>
        </w:tc>
        <w:tc>
          <w:tcPr>
            <w:tcW w:w="1979"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制硫反应器</w:t>
            </w:r>
          </w:p>
        </w:tc>
        <w:tc>
          <w:tcPr>
            <w:tcW w:w="1921" w:type="dxa"/>
            <w:tcBorders>
              <w:top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废催化剂</w:t>
            </w:r>
          </w:p>
        </w:tc>
        <w:tc>
          <w:tcPr>
            <w:tcW w:w="1306" w:type="dxa"/>
            <w:vMerge w:val="restart"/>
            <w:tcBorders>
              <w:top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r>
              <w:rPr>
                <w:rFonts w:hint="eastAsia" w:ascii="Times New Roman" w:hAnsi="Times New Roman"/>
                <w:b/>
                <w:bCs/>
                <w:kern w:val="1"/>
                <w:sz w:val="21"/>
                <w:szCs w:val="21"/>
                <w:u w:val="single"/>
              </w:rPr>
              <w:t>一般固废</w:t>
            </w:r>
          </w:p>
        </w:tc>
        <w:tc>
          <w:tcPr>
            <w:tcW w:w="2352" w:type="dxa"/>
            <w:vMerge w:val="restart"/>
            <w:tcBorders>
              <w:top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r>
              <w:rPr>
                <w:rFonts w:hint="eastAsia" w:ascii="Times New Roman" w:hAnsi="Times New Roman"/>
                <w:b/>
                <w:bCs/>
                <w:kern w:val="1"/>
                <w:sz w:val="21"/>
                <w:szCs w:val="21"/>
                <w:u w:val="single"/>
              </w:rPr>
              <w:t>厂家回收</w:t>
            </w: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138"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空压站</w:t>
            </w:r>
          </w:p>
        </w:tc>
        <w:tc>
          <w:tcPr>
            <w:tcW w:w="1979"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PSA</w:t>
            </w:r>
          </w:p>
        </w:tc>
        <w:tc>
          <w:tcPr>
            <w:tcW w:w="1921"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废吸附剂</w:t>
            </w:r>
          </w:p>
        </w:tc>
        <w:tc>
          <w:tcPr>
            <w:tcW w:w="1306" w:type="dxa"/>
            <w:vMerge w:val="continue"/>
            <w:tcBorders>
              <w:bottom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p>
        </w:tc>
        <w:tc>
          <w:tcPr>
            <w:tcW w:w="2352" w:type="dxa"/>
            <w:vMerge w:val="continue"/>
            <w:tcBorders>
              <w:bottom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3117" w:type="dxa"/>
            <w:gridSpan w:val="2"/>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污水处理站</w:t>
            </w:r>
          </w:p>
        </w:tc>
        <w:tc>
          <w:tcPr>
            <w:tcW w:w="1921" w:type="dxa"/>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污泥</w:t>
            </w:r>
          </w:p>
        </w:tc>
        <w:tc>
          <w:tcPr>
            <w:tcW w:w="1306" w:type="dxa"/>
            <w:tcBorders>
              <w:top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危险固废</w:t>
            </w:r>
          </w:p>
        </w:tc>
        <w:tc>
          <w:tcPr>
            <w:tcW w:w="2352" w:type="dxa"/>
            <w:tcBorders>
              <w:top w:val="single" w:color="auto" w:sz="4" w:space="0"/>
            </w:tcBorders>
            <w:vAlign w:val="center"/>
          </w:tcPr>
          <w:p>
            <w:pPr>
              <w:spacing w:line="360" w:lineRule="exact"/>
              <w:ind w:firstLine="0" w:firstLineChars="0"/>
              <w:jc w:val="center"/>
              <w:rPr>
                <w:rFonts w:ascii="Times New Roman" w:hAnsi="Times New Roman"/>
                <w:b/>
                <w:bCs/>
                <w:kern w:val="1"/>
                <w:sz w:val="21"/>
                <w:szCs w:val="21"/>
                <w:u w:val="single"/>
              </w:rPr>
            </w:pPr>
            <w:r>
              <w:rPr>
                <w:rFonts w:ascii="Times New Roman" w:hAnsi="Times New Roman"/>
                <w:b/>
                <w:bCs/>
                <w:kern w:val="1"/>
                <w:sz w:val="21"/>
                <w:szCs w:val="21"/>
                <w:u w:val="single"/>
              </w:rPr>
              <w:t>签订危废协议</w:t>
            </w:r>
          </w:p>
        </w:tc>
      </w:tr>
      <w:bookmarkEnd w:id="19"/>
    </w:tbl>
    <w:p>
      <w:pPr>
        <w:pStyle w:val="3"/>
      </w:pPr>
      <w:r>
        <w:t>4.3  噪声及固体废物污染防治设施投资及“三同时”落实情况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zh-CN" w:eastAsia="zh-CN"/>
        </w:rPr>
      </w:pPr>
      <w:r>
        <w:rPr>
          <w:rFonts w:hint="eastAsia" w:asciiTheme="minorEastAsia" w:hAnsiTheme="minorEastAsia" w:eastAsiaTheme="minorEastAsia" w:cstheme="minorEastAsia"/>
          <w:sz w:val="24"/>
          <w:szCs w:val="24"/>
          <w:lang w:val="zh-CN" w:eastAsia="zh-CN"/>
        </w:rPr>
        <w:t>本项目实际总投资金额为25682万元，环保投资金额为4379.2万元，环保投资金额占实际总投资金额的百分比为17.1%，项目各项环保投资见表</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lang w:val="zh-CN" w:eastAsia="zh-CN"/>
        </w:rPr>
        <w:t>。</w:t>
      </w:r>
    </w:p>
    <w:p>
      <w:pPr>
        <w:pStyle w:val="12"/>
        <w:spacing w:after="120" w:afterLines="50"/>
        <w:ind w:firstLine="0" w:firstLineChars="0"/>
      </w:pPr>
      <w:r>
        <w:t>表</w:t>
      </w:r>
      <w:r>
        <w:rPr>
          <w:rFonts w:hint="eastAsia"/>
          <w:lang w:val="en-US" w:eastAsia="zh-CN"/>
        </w:rPr>
        <w:t>6</w:t>
      </w:r>
      <w:r>
        <w:t xml:space="preserve">   工程污染防治措施、环境风险防范措施及环保投资一览表</w:t>
      </w:r>
    </w:p>
    <w:tbl>
      <w:tblPr>
        <w:tblStyle w:val="10"/>
        <w:tblW w:w="8522"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52"/>
        <w:gridCol w:w="2154"/>
        <w:gridCol w:w="4416"/>
        <w:gridCol w:w="1500"/>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4" w:hRule="exact"/>
          <w:tblHeader/>
          <w:jc w:val="center"/>
        </w:trPr>
        <w:tc>
          <w:tcPr>
            <w:tcW w:w="452" w:type="dxa"/>
            <w:tcBorders>
              <w:top w:val="double" w:color="auto" w:sz="4" w:space="0"/>
            </w:tcBorders>
            <w:vAlign w:val="center"/>
          </w:tcPr>
          <w:p>
            <w:pPr>
              <w:pStyle w:val="13"/>
              <w:spacing w:line="360" w:lineRule="exact"/>
              <w:rPr>
                <w:b/>
                <w:color w:val="auto"/>
                <w:szCs w:val="21"/>
              </w:rPr>
            </w:pPr>
            <w:r>
              <w:rPr>
                <w:b/>
                <w:color w:val="auto"/>
                <w:szCs w:val="21"/>
              </w:rPr>
              <w:t>类别</w:t>
            </w:r>
          </w:p>
        </w:tc>
        <w:tc>
          <w:tcPr>
            <w:tcW w:w="2154" w:type="dxa"/>
            <w:tcBorders>
              <w:top w:val="double" w:color="auto" w:sz="4" w:space="0"/>
            </w:tcBorders>
            <w:vAlign w:val="center"/>
          </w:tcPr>
          <w:p>
            <w:pPr>
              <w:pStyle w:val="13"/>
              <w:spacing w:line="360" w:lineRule="exact"/>
              <w:rPr>
                <w:b/>
                <w:color w:val="auto"/>
                <w:szCs w:val="21"/>
              </w:rPr>
            </w:pPr>
            <w:r>
              <w:rPr>
                <w:b/>
                <w:color w:val="auto"/>
                <w:szCs w:val="21"/>
              </w:rPr>
              <w:t>/</w:t>
            </w:r>
          </w:p>
        </w:tc>
        <w:tc>
          <w:tcPr>
            <w:tcW w:w="4416" w:type="dxa"/>
            <w:tcBorders>
              <w:top w:val="double" w:color="auto" w:sz="4" w:space="0"/>
            </w:tcBorders>
            <w:vAlign w:val="center"/>
          </w:tcPr>
          <w:p>
            <w:pPr>
              <w:pStyle w:val="13"/>
              <w:spacing w:line="360" w:lineRule="exact"/>
              <w:rPr>
                <w:b/>
                <w:color w:val="auto"/>
                <w:szCs w:val="21"/>
              </w:rPr>
            </w:pPr>
            <w:r>
              <w:rPr>
                <w:b/>
                <w:color w:val="auto"/>
                <w:szCs w:val="21"/>
              </w:rPr>
              <w:t>治理措施</w:t>
            </w:r>
          </w:p>
        </w:tc>
        <w:tc>
          <w:tcPr>
            <w:tcW w:w="1500" w:type="dxa"/>
            <w:tcBorders>
              <w:top w:val="double" w:color="auto" w:sz="4" w:space="0"/>
            </w:tcBorders>
            <w:vAlign w:val="center"/>
          </w:tcPr>
          <w:p>
            <w:pPr>
              <w:pStyle w:val="13"/>
              <w:spacing w:line="360" w:lineRule="exact"/>
              <w:rPr>
                <w:b/>
                <w:color w:val="auto"/>
                <w:szCs w:val="21"/>
              </w:rPr>
            </w:pPr>
            <w:r>
              <w:rPr>
                <w:b/>
                <w:color w:val="auto"/>
                <w:szCs w:val="21"/>
              </w:rPr>
              <w:t>投资（万元）</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4" w:hRule="exact"/>
          <w:jc w:val="center"/>
        </w:trPr>
        <w:tc>
          <w:tcPr>
            <w:tcW w:w="452" w:type="dxa"/>
            <w:vMerge w:val="restart"/>
            <w:vAlign w:val="center"/>
          </w:tcPr>
          <w:p>
            <w:pPr>
              <w:pStyle w:val="13"/>
              <w:spacing w:line="360" w:lineRule="exact"/>
              <w:rPr>
                <w:color w:val="auto"/>
                <w:szCs w:val="21"/>
              </w:rPr>
            </w:pPr>
            <w:r>
              <w:rPr>
                <w:color w:val="auto"/>
                <w:szCs w:val="21"/>
              </w:rPr>
              <w:t>固废</w:t>
            </w:r>
          </w:p>
        </w:tc>
        <w:tc>
          <w:tcPr>
            <w:tcW w:w="2154" w:type="dxa"/>
            <w:vAlign w:val="center"/>
          </w:tcPr>
          <w:p>
            <w:pPr>
              <w:pStyle w:val="13"/>
              <w:spacing w:line="360" w:lineRule="exact"/>
              <w:rPr>
                <w:color w:val="auto"/>
                <w:szCs w:val="21"/>
              </w:rPr>
            </w:pPr>
            <w:r>
              <w:rPr>
                <w:color w:val="auto"/>
                <w:szCs w:val="21"/>
              </w:rPr>
              <w:t>废催化剂、废活性炭吸附剂等</w:t>
            </w:r>
          </w:p>
        </w:tc>
        <w:tc>
          <w:tcPr>
            <w:tcW w:w="4416" w:type="dxa"/>
            <w:vAlign w:val="center"/>
          </w:tcPr>
          <w:p>
            <w:pPr>
              <w:pStyle w:val="13"/>
              <w:spacing w:line="360" w:lineRule="exact"/>
              <w:rPr>
                <w:color w:val="auto"/>
                <w:szCs w:val="21"/>
              </w:rPr>
            </w:pPr>
            <w:r>
              <w:rPr>
                <w:color w:val="auto"/>
                <w:szCs w:val="21"/>
              </w:rPr>
              <w:t>临时堆存、地面做防渗、防流失处理</w:t>
            </w:r>
          </w:p>
        </w:tc>
        <w:tc>
          <w:tcPr>
            <w:tcW w:w="1500" w:type="dxa"/>
            <w:vAlign w:val="center"/>
          </w:tcPr>
          <w:p>
            <w:pPr>
              <w:pStyle w:val="13"/>
              <w:spacing w:line="360" w:lineRule="exact"/>
              <w:rPr>
                <w:color w:val="auto"/>
                <w:szCs w:val="21"/>
              </w:rPr>
            </w:pPr>
            <w:r>
              <w:rPr>
                <w:color w:val="auto"/>
                <w:szCs w:val="21"/>
              </w:rPr>
              <w:t>15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3" w:hRule="exact"/>
          <w:jc w:val="center"/>
        </w:trPr>
        <w:tc>
          <w:tcPr>
            <w:tcW w:w="452" w:type="dxa"/>
            <w:vMerge w:val="continue"/>
            <w:vAlign w:val="center"/>
          </w:tcPr>
          <w:p>
            <w:pPr>
              <w:pStyle w:val="13"/>
              <w:spacing w:line="360" w:lineRule="exact"/>
              <w:rPr>
                <w:color w:val="auto"/>
                <w:szCs w:val="21"/>
              </w:rPr>
            </w:pPr>
          </w:p>
        </w:tc>
        <w:tc>
          <w:tcPr>
            <w:tcW w:w="2154" w:type="dxa"/>
            <w:vAlign w:val="center"/>
          </w:tcPr>
          <w:p>
            <w:pPr>
              <w:pStyle w:val="13"/>
              <w:spacing w:line="360" w:lineRule="exact"/>
              <w:rPr>
                <w:color w:val="auto"/>
                <w:szCs w:val="21"/>
              </w:rPr>
            </w:pPr>
            <w:r>
              <w:rPr>
                <w:color w:val="auto"/>
                <w:szCs w:val="21"/>
              </w:rPr>
              <w:t>污水处理站剩余污泥</w:t>
            </w:r>
          </w:p>
        </w:tc>
        <w:tc>
          <w:tcPr>
            <w:tcW w:w="4416" w:type="dxa"/>
            <w:vAlign w:val="center"/>
          </w:tcPr>
          <w:p>
            <w:pPr>
              <w:pStyle w:val="13"/>
              <w:spacing w:line="360" w:lineRule="exact"/>
              <w:rPr>
                <w:color w:val="auto"/>
                <w:szCs w:val="21"/>
              </w:rPr>
            </w:pPr>
            <w:r>
              <w:rPr>
                <w:rFonts w:hint="eastAsia"/>
                <w:color w:val="auto"/>
                <w:szCs w:val="21"/>
              </w:rPr>
              <w:t>不脱水，直接由有资质单位处理</w:t>
            </w:r>
          </w:p>
        </w:tc>
        <w:tc>
          <w:tcPr>
            <w:tcW w:w="1500" w:type="dxa"/>
            <w:vAlign w:val="center"/>
          </w:tcPr>
          <w:p>
            <w:pPr>
              <w:pStyle w:val="13"/>
              <w:spacing w:line="360" w:lineRule="exact"/>
              <w:rPr>
                <w:color w:val="auto"/>
                <w:szCs w:val="21"/>
              </w:rPr>
            </w:pPr>
            <w:r>
              <w:rPr>
                <w:rFonts w:hint="eastAsia"/>
                <w:color w:val="auto"/>
                <w:szCs w:val="21"/>
              </w:rPr>
              <w:t>26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62" w:hRule="exact"/>
          <w:jc w:val="center"/>
        </w:trPr>
        <w:tc>
          <w:tcPr>
            <w:tcW w:w="452" w:type="dxa"/>
            <w:vMerge w:val="continue"/>
            <w:vAlign w:val="center"/>
          </w:tcPr>
          <w:p>
            <w:pPr>
              <w:pStyle w:val="13"/>
              <w:spacing w:line="360" w:lineRule="exact"/>
              <w:rPr>
                <w:color w:val="auto"/>
                <w:szCs w:val="21"/>
              </w:rPr>
            </w:pPr>
          </w:p>
        </w:tc>
        <w:tc>
          <w:tcPr>
            <w:tcW w:w="2154" w:type="dxa"/>
            <w:vAlign w:val="center"/>
          </w:tcPr>
          <w:p>
            <w:pPr>
              <w:pStyle w:val="13"/>
              <w:spacing w:line="360" w:lineRule="exact"/>
              <w:rPr>
                <w:color w:val="auto"/>
                <w:szCs w:val="21"/>
              </w:rPr>
            </w:pPr>
            <w:r>
              <w:rPr>
                <w:color w:val="auto"/>
                <w:szCs w:val="21"/>
              </w:rPr>
              <w:t>暂存间</w:t>
            </w:r>
          </w:p>
        </w:tc>
        <w:tc>
          <w:tcPr>
            <w:tcW w:w="4416" w:type="dxa"/>
            <w:vAlign w:val="center"/>
          </w:tcPr>
          <w:p>
            <w:pPr>
              <w:pStyle w:val="13"/>
              <w:spacing w:line="360" w:lineRule="exact"/>
              <w:rPr>
                <w:color w:val="auto"/>
                <w:szCs w:val="21"/>
              </w:rPr>
            </w:pPr>
            <w:r>
              <w:rPr>
                <w:color w:val="auto"/>
                <w:szCs w:val="21"/>
              </w:rPr>
              <w:t>3</w:t>
            </w:r>
            <w:r>
              <w:rPr>
                <w:rFonts w:hint="eastAsia"/>
                <w:color w:val="auto"/>
                <w:szCs w:val="21"/>
              </w:rPr>
              <w:t>6</w:t>
            </w:r>
            <w:r>
              <w:rPr>
                <w:color w:val="auto"/>
                <w:szCs w:val="21"/>
              </w:rPr>
              <w:t>0m</w:t>
            </w:r>
            <w:r>
              <w:rPr>
                <w:color w:val="auto"/>
                <w:szCs w:val="21"/>
                <w:vertAlign w:val="superscript"/>
              </w:rPr>
              <w:t>2</w:t>
            </w:r>
            <w:r>
              <w:rPr>
                <w:color w:val="auto"/>
                <w:szCs w:val="21"/>
              </w:rPr>
              <w:t>的</w:t>
            </w:r>
            <w:r>
              <w:rPr>
                <w:rFonts w:hint="eastAsia"/>
                <w:color w:val="auto"/>
                <w:szCs w:val="21"/>
              </w:rPr>
              <w:t>危废</w:t>
            </w:r>
            <w:r>
              <w:rPr>
                <w:color w:val="auto"/>
                <w:szCs w:val="21"/>
              </w:rPr>
              <w:t>暂存间</w:t>
            </w:r>
          </w:p>
        </w:tc>
        <w:tc>
          <w:tcPr>
            <w:tcW w:w="1500" w:type="dxa"/>
            <w:vAlign w:val="center"/>
          </w:tcPr>
          <w:p>
            <w:pPr>
              <w:pStyle w:val="13"/>
              <w:spacing w:line="360" w:lineRule="exact"/>
              <w:rPr>
                <w:color w:val="auto"/>
                <w:szCs w:val="21"/>
              </w:rPr>
            </w:pPr>
            <w:r>
              <w:rPr>
                <w:color w:val="auto"/>
                <w:szCs w:val="21"/>
              </w:rPr>
              <w:t>2.2</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46" w:hRule="exact"/>
          <w:jc w:val="center"/>
        </w:trPr>
        <w:tc>
          <w:tcPr>
            <w:tcW w:w="452" w:type="dxa"/>
            <w:vAlign w:val="center"/>
          </w:tcPr>
          <w:p>
            <w:pPr>
              <w:pStyle w:val="13"/>
              <w:spacing w:line="360" w:lineRule="exact"/>
              <w:rPr>
                <w:color w:val="auto"/>
                <w:szCs w:val="21"/>
              </w:rPr>
            </w:pPr>
            <w:r>
              <w:rPr>
                <w:color w:val="auto"/>
                <w:szCs w:val="21"/>
              </w:rPr>
              <w:t>噪声</w:t>
            </w:r>
          </w:p>
        </w:tc>
        <w:tc>
          <w:tcPr>
            <w:tcW w:w="2154" w:type="dxa"/>
            <w:vAlign w:val="center"/>
          </w:tcPr>
          <w:p>
            <w:pPr>
              <w:pStyle w:val="13"/>
              <w:spacing w:line="360" w:lineRule="exact"/>
              <w:rPr>
                <w:color w:val="auto"/>
                <w:szCs w:val="21"/>
              </w:rPr>
            </w:pPr>
            <w:r>
              <w:rPr>
                <w:color w:val="auto"/>
                <w:szCs w:val="21"/>
              </w:rPr>
              <w:t>设备噪声治理</w:t>
            </w:r>
          </w:p>
        </w:tc>
        <w:tc>
          <w:tcPr>
            <w:tcW w:w="4416" w:type="dxa"/>
            <w:vAlign w:val="center"/>
          </w:tcPr>
          <w:p>
            <w:pPr>
              <w:pStyle w:val="13"/>
              <w:spacing w:line="360" w:lineRule="exact"/>
              <w:rPr>
                <w:color w:val="auto"/>
                <w:szCs w:val="21"/>
              </w:rPr>
            </w:pPr>
            <w:r>
              <w:rPr>
                <w:color w:val="auto"/>
                <w:szCs w:val="21"/>
              </w:rPr>
              <w:t>各种消音器、隔声罩、减震垫、耳塞、耳罩等</w:t>
            </w:r>
          </w:p>
        </w:tc>
        <w:tc>
          <w:tcPr>
            <w:tcW w:w="1500" w:type="dxa"/>
            <w:vAlign w:val="center"/>
          </w:tcPr>
          <w:p>
            <w:pPr>
              <w:pStyle w:val="13"/>
              <w:spacing w:line="360" w:lineRule="exact"/>
              <w:rPr>
                <w:color w:val="auto"/>
                <w:szCs w:val="21"/>
              </w:rPr>
            </w:pPr>
            <w:r>
              <w:rPr>
                <w:color w:val="auto"/>
                <w:szCs w:val="21"/>
              </w:rPr>
              <w:t>21</w:t>
            </w: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pPr>
      <w:bookmarkStart w:id="20" w:name="_Toc30561"/>
      <w:bookmarkStart w:id="21" w:name="_Toc5043"/>
      <w:bookmarkStart w:id="22" w:name="_Toc8854"/>
      <w:r>
        <w:t>环保设施三同时落实情况见下表。</w:t>
      </w:r>
      <w:bookmarkEnd w:id="20"/>
      <w:bookmarkEnd w:id="21"/>
      <w:bookmarkEnd w:id="22"/>
    </w:p>
    <w:p>
      <w:pPr>
        <w:pStyle w:val="12"/>
        <w:spacing w:after="120" w:afterLines="50"/>
        <w:ind w:firstLine="0" w:firstLineChars="0"/>
        <w:rPr>
          <w:szCs w:val="24"/>
        </w:rPr>
      </w:pPr>
      <w:r>
        <w:rPr>
          <w:szCs w:val="24"/>
        </w:rPr>
        <w:t>表</w:t>
      </w:r>
      <w:r>
        <w:rPr>
          <w:rFonts w:hint="eastAsia"/>
          <w:szCs w:val="24"/>
          <w:lang w:val="en-US" w:eastAsia="zh-CN"/>
        </w:rPr>
        <w:t>7</w:t>
      </w:r>
      <w:r>
        <w:rPr>
          <w:szCs w:val="24"/>
        </w:rPr>
        <w:t xml:space="preserve">   环保设施“三同时”落实情况一览表</w:t>
      </w:r>
    </w:p>
    <w:tbl>
      <w:tblPr>
        <w:tblStyle w:val="10"/>
        <w:tblW w:w="8620"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94"/>
        <w:gridCol w:w="1237"/>
        <w:gridCol w:w="3399"/>
        <w:gridCol w:w="3490"/>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5" w:hRule="exact"/>
          <w:tblHeader/>
          <w:jc w:val="center"/>
        </w:trPr>
        <w:tc>
          <w:tcPr>
            <w:tcW w:w="494" w:type="dxa"/>
            <w:tcBorders>
              <w:top w:val="double" w:color="auto" w:sz="4" w:space="0"/>
            </w:tcBorders>
            <w:vAlign w:val="center"/>
          </w:tcPr>
          <w:p>
            <w:pPr>
              <w:pStyle w:val="13"/>
              <w:spacing w:line="240" w:lineRule="exact"/>
              <w:rPr>
                <w:b/>
                <w:color w:val="auto"/>
                <w:szCs w:val="21"/>
              </w:rPr>
            </w:pPr>
            <w:r>
              <w:rPr>
                <w:b/>
                <w:color w:val="auto"/>
                <w:szCs w:val="21"/>
              </w:rPr>
              <w:t>类别</w:t>
            </w:r>
          </w:p>
        </w:tc>
        <w:tc>
          <w:tcPr>
            <w:tcW w:w="1237" w:type="dxa"/>
            <w:tcBorders>
              <w:top w:val="double" w:color="auto" w:sz="4" w:space="0"/>
            </w:tcBorders>
            <w:vAlign w:val="center"/>
          </w:tcPr>
          <w:p>
            <w:pPr>
              <w:pStyle w:val="13"/>
              <w:spacing w:line="240" w:lineRule="exact"/>
              <w:rPr>
                <w:b/>
                <w:color w:val="auto"/>
                <w:szCs w:val="21"/>
              </w:rPr>
            </w:pPr>
            <w:r>
              <w:rPr>
                <w:b/>
                <w:color w:val="auto"/>
                <w:szCs w:val="21"/>
              </w:rPr>
              <w:t>环评情况</w:t>
            </w:r>
          </w:p>
        </w:tc>
        <w:tc>
          <w:tcPr>
            <w:tcW w:w="3399" w:type="dxa"/>
            <w:tcBorders>
              <w:top w:val="double" w:color="auto" w:sz="4" w:space="0"/>
            </w:tcBorders>
            <w:vAlign w:val="center"/>
          </w:tcPr>
          <w:p>
            <w:pPr>
              <w:pStyle w:val="13"/>
              <w:spacing w:line="240" w:lineRule="exact"/>
              <w:rPr>
                <w:b/>
                <w:color w:val="auto"/>
                <w:szCs w:val="21"/>
              </w:rPr>
            </w:pPr>
            <w:r>
              <w:rPr>
                <w:b/>
                <w:color w:val="auto"/>
                <w:szCs w:val="21"/>
              </w:rPr>
              <w:t>设计情况</w:t>
            </w:r>
          </w:p>
        </w:tc>
        <w:tc>
          <w:tcPr>
            <w:tcW w:w="3490" w:type="dxa"/>
            <w:tcBorders>
              <w:top w:val="double" w:color="auto" w:sz="4" w:space="0"/>
            </w:tcBorders>
            <w:vAlign w:val="center"/>
          </w:tcPr>
          <w:p>
            <w:pPr>
              <w:pStyle w:val="13"/>
              <w:spacing w:line="240" w:lineRule="exact"/>
              <w:rPr>
                <w:b/>
                <w:color w:val="auto"/>
                <w:szCs w:val="21"/>
              </w:rPr>
            </w:pPr>
            <w:r>
              <w:rPr>
                <w:b/>
                <w:color w:val="auto"/>
                <w:szCs w:val="21"/>
              </w:rPr>
              <w:t>实际建设情况</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51" w:hRule="exact"/>
          <w:jc w:val="center"/>
        </w:trPr>
        <w:tc>
          <w:tcPr>
            <w:tcW w:w="494" w:type="dxa"/>
            <w:vMerge w:val="restart"/>
            <w:vAlign w:val="center"/>
          </w:tcPr>
          <w:p>
            <w:pPr>
              <w:pStyle w:val="13"/>
              <w:spacing w:line="240" w:lineRule="exact"/>
              <w:rPr>
                <w:color w:val="auto"/>
                <w:szCs w:val="21"/>
              </w:rPr>
            </w:pPr>
            <w:r>
              <w:rPr>
                <w:color w:val="auto"/>
                <w:szCs w:val="21"/>
              </w:rPr>
              <w:t>固废</w:t>
            </w:r>
          </w:p>
        </w:tc>
        <w:tc>
          <w:tcPr>
            <w:tcW w:w="1237" w:type="dxa"/>
            <w:vAlign w:val="center"/>
          </w:tcPr>
          <w:p>
            <w:pPr>
              <w:pStyle w:val="13"/>
              <w:spacing w:line="240" w:lineRule="exact"/>
              <w:rPr>
                <w:color w:val="auto"/>
                <w:szCs w:val="21"/>
              </w:rPr>
            </w:pPr>
            <w:r>
              <w:rPr>
                <w:color w:val="auto"/>
                <w:szCs w:val="21"/>
              </w:rPr>
              <w:t>危险废催化剂、废碱渣</w:t>
            </w:r>
          </w:p>
        </w:tc>
        <w:tc>
          <w:tcPr>
            <w:tcW w:w="3399" w:type="dxa"/>
            <w:vAlign w:val="center"/>
          </w:tcPr>
          <w:p>
            <w:pPr>
              <w:pStyle w:val="13"/>
              <w:spacing w:line="240" w:lineRule="exact"/>
              <w:rPr>
                <w:color w:val="auto"/>
                <w:szCs w:val="21"/>
              </w:rPr>
            </w:pPr>
            <w:r>
              <w:rPr>
                <w:color w:val="auto"/>
                <w:szCs w:val="21"/>
              </w:rPr>
              <w:t>厂内临时专用储存间分类收集、场地做防扬散、防流失、防渗漏处理，定期送有资质单位处理，360m</w:t>
            </w:r>
            <w:r>
              <w:rPr>
                <w:color w:val="auto"/>
                <w:szCs w:val="21"/>
                <w:vertAlign w:val="superscript"/>
              </w:rPr>
              <w:t>2</w:t>
            </w:r>
            <w:r>
              <w:rPr>
                <w:color w:val="auto"/>
                <w:szCs w:val="21"/>
              </w:rPr>
              <w:t>的暂存间，危废焚烧炉</w:t>
            </w:r>
          </w:p>
        </w:tc>
        <w:tc>
          <w:tcPr>
            <w:tcW w:w="3490" w:type="dxa"/>
            <w:vAlign w:val="center"/>
          </w:tcPr>
          <w:p>
            <w:pPr>
              <w:pStyle w:val="13"/>
              <w:spacing w:line="240" w:lineRule="exact"/>
              <w:rPr>
                <w:color w:val="auto"/>
                <w:szCs w:val="21"/>
              </w:rPr>
            </w:pPr>
            <w:r>
              <w:rPr>
                <w:color w:val="auto"/>
                <w:szCs w:val="21"/>
              </w:rPr>
              <w:t>3</w:t>
            </w:r>
            <w:r>
              <w:rPr>
                <w:rFonts w:hint="eastAsia"/>
                <w:color w:val="auto"/>
                <w:szCs w:val="21"/>
              </w:rPr>
              <w:t>6</w:t>
            </w:r>
            <w:r>
              <w:rPr>
                <w:color w:val="auto"/>
                <w:szCs w:val="21"/>
              </w:rPr>
              <w:t>0m</w:t>
            </w:r>
            <w:r>
              <w:rPr>
                <w:color w:val="auto"/>
                <w:szCs w:val="21"/>
                <w:vertAlign w:val="superscript"/>
              </w:rPr>
              <w:t>2</w:t>
            </w:r>
            <w:r>
              <w:rPr>
                <w:color w:val="auto"/>
                <w:szCs w:val="21"/>
              </w:rPr>
              <w:t>的</w:t>
            </w:r>
            <w:r>
              <w:rPr>
                <w:rFonts w:hint="eastAsia"/>
                <w:color w:val="auto"/>
                <w:szCs w:val="21"/>
              </w:rPr>
              <w:t>危废</w:t>
            </w:r>
            <w:r>
              <w:rPr>
                <w:color w:val="auto"/>
                <w:szCs w:val="21"/>
              </w:rPr>
              <w:t>暂存间</w:t>
            </w:r>
            <w:r>
              <w:rPr>
                <w:rFonts w:hint="eastAsia"/>
                <w:color w:val="auto"/>
                <w:szCs w:val="21"/>
                <w:lang w:eastAsia="zh-CN"/>
              </w:rPr>
              <w:t>，废碱渣由南阳市油田振兴特种油品有限公司代为处置，产生后及时由有资质公司专用槽车拉走，厂内不再进行暂存</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40" w:hRule="exact"/>
          <w:jc w:val="center"/>
        </w:trPr>
        <w:tc>
          <w:tcPr>
            <w:tcW w:w="494" w:type="dxa"/>
            <w:vMerge w:val="continue"/>
            <w:vAlign w:val="center"/>
          </w:tcPr>
          <w:p>
            <w:pPr>
              <w:pStyle w:val="13"/>
              <w:spacing w:line="240" w:lineRule="exact"/>
              <w:rPr>
                <w:color w:val="auto"/>
                <w:szCs w:val="21"/>
              </w:rPr>
            </w:pPr>
          </w:p>
        </w:tc>
        <w:tc>
          <w:tcPr>
            <w:tcW w:w="1237" w:type="dxa"/>
            <w:vAlign w:val="center"/>
          </w:tcPr>
          <w:p>
            <w:pPr>
              <w:pStyle w:val="13"/>
              <w:spacing w:line="240" w:lineRule="exact"/>
              <w:rPr>
                <w:color w:val="auto"/>
                <w:szCs w:val="21"/>
              </w:rPr>
            </w:pPr>
            <w:r>
              <w:rPr>
                <w:color w:val="auto"/>
                <w:szCs w:val="21"/>
              </w:rPr>
              <w:t>一般废催化剂、废吸附剂</w:t>
            </w:r>
          </w:p>
        </w:tc>
        <w:tc>
          <w:tcPr>
            <w:tcW w:w="3399" w:type="dxa"/>
            <w:vAlign w:val="center"/>
          </w:tcPr>
          <w:p>
            <w:pPr>
              <w:pStyle w:val="13"/>
              <w:spacing w:line="240" w:lineRule="exact"/>
              <w:rPr>
                <w:color w:val="auto"/>
                <w:szCs w:val="21"/>
              </w:rPr>
            </w:pPr>
            <w:r>
              <w:rPr>
                <w:color w:val="auto"/>
                <w:szCs w:val="21"/>
              </w:rPr>
              <w:t>厂内铁皮桶临时储存，定期由供货商回收或送当地垃圾填埋场集中填埋</w:t>
            </w:r>
          </w:p>
        </w:tc>
        <w:tc>
          <w:tcPr>
            <w:tcW w:w="3490" w:type="dxa"/>
            <w:vAlign w:val="center"/>
          </w:tcPr>
          <w:p>
            <w:pPr>
              <w:pStyle w:val="13"/>
              <w:spacing w:line="240" w:lineRule="exact"/>
              <w:rPr>
                <w:color w:val="auto"/>
                <w:szCs w:val="21"/>
              </w:rPr>
            </w:pPr>
            <w:r>
              <w:rPr>
                <w:color w:val="auto"/>
                <w:szCs w:val="21"/>
              </w:rPr>
              <w:t>厂内铁皮桶临时储存，定期由供货商回收或送当地垃圾填埋场集中填埋</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494" w:type="dxa"/>
            <w:vMerge w:val="continue"/>
            <w:vAlign w:val="center"/>
          </w:tcPr>
          <w:p>
            <w:pPr>
              <w:pStyle w:val="13"/>
              <w:spacing w:line="240" w:lineRule="exact"/>
              <w:rPr>
                <w:color w:val="auto"/>
                <w:szCs w:val="21"/>
              </w:rPr>
            </w:pPr>
          </w:p>
        </w:tc>
        <w:tc>
          <w:tcPr>
            <w:tcW w:w="1237" w:type="dxa"/>
            <w:vAlign w:val="center"/>
          </w:tcPr>
          <w:p>
            <w:pPr>
              <w:pStyle w:val="13"/>
              <w:spacing w:line="240" w:lineRule="exact"/>
              <w:rPr>
                <w:color w:val="auto"/>
                <w:szCs w:val="21"/>
              </w:rPr>
            </w:pPr>
            <w:r>
              <w:rPr>
                <w:color w:val="auto"/>
                <w:szCs w:val="21"/>
              </w:rPr>
              <w:t>污水处理站剩余污泥</w:t>
            </w:r>
          </w:p>
        </w:tc>
        <w:tc>
          <w:tcPr>
            <w:tcW w:w="3399" w:type="dxa"/>
            <w:vAlign w:val="center"/>
          </w:tcPr>
          <w:p>
            <w:pPr>
              <w:pStyle w:val="13"/>
              <w:spacing w:line="240" w:lineRule="exact"/>
              <w:rPr>
                <w:rFonts w:hint="eastAsia" w:eastAsia="宋体"/>
                <w:color w:val="auto"/>
                <w:szCs w:val="21"/>
                <w:lang w:eastAsia="zh-CN"/>
              </w:rPr>
            </w:pPr>
            <w:r>
              <w:rPr>
                <w:rFonts w:hint="eastAsia" w:hAnsi="宋体"/>
                <w:color w:val="auto"/>
                <w:szCs w:val="21"/>
                <w:lang w:eastAsia="zh-CN"/>
              </w:rPr>
              <w:t>焚烧炉焚烧</w:t>
            </w:r>
          </w:p>
        </w:tc>
        <w:tc>
          <w:tcPr>
            <w:tcW w:w="3490" w:type="dxa"/>
            <w:vAlign w:val="center"/>
          </w:tcPr>
          <w:p>
            <w:pPr>
              <w:pStyle w:val="13"/>
              <w:spacing w:line="240" w:lineRule="exact"/>
              <w:rPr>
                <w:color w:val="auto"/>
                <w:szCs w:val="21"/>
              </w:rPr>
            </w:pPr>
            <w:r>
              <w:rPr>
                <w:rFonts w:hint="eastAsia"/>
                <w:color w:val="auto"/>
                <w:szCs w:val="21"/>
              </w:rPr>
              <w:t>不进行浓缩脱水，</w:t>
            </w:r>
            <w:r>
              <w:rPr>
                <w:rFonts w:hint="eastAsia"/>
                <w:color w:val="auto"/>
                <w:szCs w:val="21"/>
                <w:lang w:eastAsia="zh-CN"/>
              </w:rPr>
              <w:t>直接由南阳璋鑫化工有限公司代为处置，污泥产生后及时由资质公司专用槽车拉走，厂内不再进行暂存</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494" w:type="dxa"/>
            <w:vMerge w:val="continue"/>
            <w:vAlign w:val="center"/>
          </w:tcPr>
          <w:p>
            <w:pPr>
              <w:pStyle w:val="13"/>
              <w:spacing w:line="240" w:lineRule="exact"/>
              <w:rPr>
                <w:color w:val="auto"/>
                <w:szCs w:val="21"/>
              </w:rPr>
            </w:pPr>
          </w:p>
        </w:tc>
        <w:tc>
          <w:tcPr>
            <w:tcW w:w="1237" w:type="dxa"/>
            <w:vAlign w:val="center"/>
          </w:tcPr>
          <w:p>
            <w:pPr>
              <w:pStyle w:val="13"/>
              <w:spacing w:line="240" w:lineRule="exact"/>
              <w:rPr>
                <w:color w:val="auto"/>
                <w:szCs w:val="21"/>
              </w:rPr>
            </w:pPr>
            <w:r>
              <w:rPr>
                <w:color w:val="auto"/>
                <w:szCs w:val="21"/>
              </w:rPr>
              <w:t>生活垃圾</w:t>
            </w:r>
          </w:p>
        </w:tc>
        <w:tc>
          <w:tcPr>
            <w:tcW w:w="3399" w:type="dxa"/>
            <w:vAlign w:val="center"/>
          </w:tcPr>
          <w:p>
            <w:pPr>
              <w:pStyle w:val="13"/>
              <w:spacing w:line="240" w:lineRule="exact"/>
              <w:rPr>
                <w:color w:val="auto"/>
                <w:szCs w:val="21"/>
              </w:rPr>
            </w:pPr>
            <w:r>
              <w:rPr>
                <w:color w:val="auto"/>
                <w:szCs w:val="21"/>
              </w:rPr>
              <w:t>由城市生活垃圾统一处理</w:t>
            </w:r>
          </w:p>
        </w:tc>
        <w:tc>
          <w:tcPr>
            <w:tcW w:w="3490" w:type="dxa"/>
            <w:vAlign w:val="center"/>
          </w:tcPr>
          <w:p>
            <w:pPr>
              <w:pStyle w:val="13"/>
              <w:spacing w:line="240" w:lineRule="exact"/>
              <w:rPr>
                <w:color w:val="auto"/>
                <w:szCs w:val="21"/>
              </w:rPr>
            </w:pPr>
            <w:r>
              <w:rPr>
                <w:color w:val="auto"/>
                <w:szCs w:val="21"/>
              </w:rPr>
              <w:t>由城市生活垃圾统一处理</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494" w:type="dxa"/>
            <w:vAlign w:val="center"/>
          </w:tcPr>
          <w:p>
            <w:pPr>
              <w:pStyle w:val="13"/>
              <w:spacing w:line="240" w:lineRule="exact"/>
              <w:rPr>
                <w:color w:val="auto"/>
                <w:szCs w:val="21"/>
              </w:rPr>
            </w:pPr>
            <w:r>
              <w:rPr>
                <w:color w:val="auto"/>
                <w:szCs w:val="21"/>
              </w:rPr>
              <w:t>噪声</w:t>
            </w:r>
          </w:p>
        </w:tc>
        <w:tc>
          <w:tcPr>
            <w:tcW w:w="1237" w:type="dxa"/>
            <w:vAlign w:val="center"/>
          </w:tcPr>
          <w:p>
            <w:pPr>
              <w:pStyle w:val="13"/>
              <w:spacing w:line="240" w:lineRule="exact"/>
              <w:rPr>
                <w:color w:val="auto"/>
                <w:szCs w:val="21"/>
              </w:rPr>
            </w:pPr>
            <w:r>
              <w:rPr>
                <w:color w:val="auto"/>
                <w:szCs w:val="21"/>
              </w:rPr>
              <w:t>各种噪声</w:t>
            </w:r>
          </w:p>
        </w:tc>
        <w:tc>
          <w:tcPr>
            <w:tcW w:w="3399" w:type="dxa"/>
            <w:vAlign w:val="center"/>
          </w:tcPr>
          <w:p>
            <w:pPr>
              <w:pStyle w:val="13"/>
              <w:spacing w:line="240" w:lineRule="exact"/>
              <w:rPr>
                <w:color w:val="auto"/>
                <w:szCs w:val="21"/>
              </w:rPr>
            </w:pPr>
            <w:r>
              <w:rPr>
                <w:color w:val="auto"/>
                <w:szCs w:val="21"/>
              </w:rPr>
              <w:t>低噪设备；隔声、消声、减震</w:t>
            </w:r>
          </w:p>
        </w:tc>
        <w:tc>
          <w:tcPr>
            <w:tcW w:w="3490" w:type="dxa"/>
            <w:vAlign w:val="center"/>
          </w:tcPr>
          <w:p>
            <w:pPr>
              <w:pStyle w:val="13"/>
              <w:spacing w:line="240" w:lineRule="exact"/>
              <w:rPr>
                <w:color w:val="auto"/>
                <w:szCs w:val="21"/>
              </w:rPr>
            </w:pPr>
            <w:r>
              <w:rPr>
                <w:szCs w:val="21"/>
              </w:rPr>
              <w:t>低噪设备；隔声、消声、减震</w:t>
            </w:r>
          </w:p>
        </w:tc>
      </w:tr>
    </w:tbl>
    <w:p>
      <w:pPr>
        <w:keepNext w:val="0"/>
        <w:keepLines w:val="0"/>
        <w:pageBreakBefore w:val="0"/>
        <w:widowControl w:val="0"/>
        <w:kinsoku/>
        <w:wordWrap/>
        <w:overflowPunct w:val="0"/>
        <w:topLinePunct/>
        <w:autoSpaceDE/>
        <w:autoSpaceDN/>
        <w:bidi w:val="0"/>
        <w:adjustRightInd/>
        <w:snapToGrid/>
        <w:spacing w:line="360" w:lineRule="auto"/>
        <w:ind w:firstLine="480" w:firstLineChars="200"/>
        <w:textAlignment w:val="auto"/>
        <w:outlineLvl w:val="9"/>
        <w:rPr>
          <w:rFonts w:ascii="Times New Roman" w:hAnsi="Times New Roman" w:eastAsia="方正黑体_GBK"/>
          <w:b/>
          <w:sz w:val="32"/>
          <w:szCs w:val="32"/>
        </w:rPr>
      </w:pPr>
      <w:r>
        <w:rPr>
          <w:rFonts w:hint="eastAsia" w:asciiTheme="minorEastAsia" w:hAnsiTheme="minorEastAsia" w:eastAsiaTheme="minorEastAsia" w:cstheme="minorEastAsia"/>
          <w:b w:val="0"/>
          <w:bCs w:val="0"/>
          <w:sz w:val="24"/>
          <w:szCs w:val="24"/>
          <w:lang w:val="zh-CN" w:eastAsia="zh-CN"/>
        </w:rPr>
        <w:t>小结：项目变动后危废种类，性质未发生变化，废碱渣及污泥试运行阶段直接由第三方资质单位专用车辆拉走处置，未在厂内暂存，故不会引起暂存设施变化，且不会造成暂存设施容积不足等问题，现有暂存设施满足环评所提要求。废碱渣及污泥处置主体由自建焚烧炉处置改为委托资质单位，处置主体危废资质合法，企业厂内暂存设施合规，变化前后均可做到固废零排放，处置主体的变化不会引起污染物排放量、范围或强度增加，不属于重大变动范畴。</w:t>
      </w:r>
      <w:r>
        <w:rPr>
          <w:rFonts w:ascii="Times New Roman" w:hAnsi="Times New Roman" w:eastAsia="方正黑体_GBK"/>
          <w:b/>
          <w:sz w:val="32"/>
          <w:szCs w:val="32"/>
        </w:rPr>
        <w:br w:type="page"/>
      </w:r>
    </w:p>
    <w:p>
      <w:pPr>
        <w:pStyle w:val="2"/>
      </w:pPr>
      <w:r>
        <w:t>5  建设项目环境影响评价文件中对噪声和固体废物的主要结论与建议及审批部门的审批决定</w:t>
      </w:r>
    </w:p>
    <w:p>
      <w:pPr>
        <w:pStyle w:val="3"/>
        <w:spacing w:before="120" w:after="120"/>
        <w:rPr>
          <w:rFonts w:ascii="Times New Roman" w:hAnsi="Times New Roman"/>
        </w:rPr>
      </w:pPr>
      <w:bookmarkStart w:id="23" w:name="_Toc490656326"/>
      <w:bookmarkStart w:id="24" w:name="_Toc3890"/>
      <w:bookmarkStart w:id="25" w:name="_Toc5328"/>
      <w:bookmarkStart w:id="26" w:name="_Toc26868"/>
      <w:bookmarkStart w:id="27" w:name="_Toc11928"/>
      <w:bookmarkStart w:id="28" w:name="_Toc7811"/>
      <w:bookmarkStart w:id="29" w:name="_Toc26859"/>
      <w:r>
        <w:rPr>
          <w:rFonts w:hint="eastAsia" w:ascii="Times New Roman" w:hAnsi="Times New Roman"/>
          <w:lang w:val="en-US" w:eastAsia="zh-CN"/>
        </w:rPr>
        <w:t>5</w:t>
      </w:r>
      <w:r>
        <w:rPr>
          <w:rFonts w:ascii="Times New Roman" w:hAnsi="Times New Roman"/>
        </w:rPr>
        <w:t>.1</w:t>
      </w:r>
      <w:bookmarkEnd w:id="23"/>
      <w:bookmarkEnd w:id="24"/>
      <w:r>
        <w:rPr>
          <w:rFonts w:ascii="Times New Roman" w:hAnsi="Times New Roman"/>
        </w:rPr>
        <w:t>建设项目环评报告书的主要结论与建议</w:t>
      </w:r>
      <w:bookmarkEnd w:id="25"/>
      <w:bookmarkEnd w:id="26"/>
      <w:bookmarkEnd w:id="27"/>
      <w:bookmarkEnd w:id="28"/>
      <w:bookmarkEnd w:id="2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 w:val="0"/>
          <w:bCs w:val="0"/>
          <w:sz w:val="24"/>
          <w:szCs w:val="24"/>
        </w:rPr>
      </w:pPr>
      <w:bookmarkStart w:id="30" w:name="_Toc18111"/>
      <w:bookmarkStart w:id="31" w:name="_Toc490656327"/>
      <w:bookmarkStart w:id="32" w:name="_Toc11922"/>
      <w:bookmarkStart w:id="33" w:name="_Toc17259"/>
      <w:bookmarkStart w:id="34" w:name="_Toc11527"/>
      <w:bookmarkStart w:id="35" w:name="_Toc8858"/>
      <w:bookmarkStart w:id="36" w:name="_Toc32206"/>
      <w:r>
        <w:rPr>
          <w:rFonts w:hint="eastAsia" w:asciiTheme="minorEastAsia" w:hAnsiTheme="minorEastAsia" w:eastAsiaTheme="minorEastAsia" w:cstheme="minorEastAsia"/>
          <w:b w:val="0"/>
          <w:bCs w:val="0"/>
          <w:sz w:val="24"/>
          <w:szCs w:val="24"/>
          <w:lang w:val="en-US" w:eastAsia="zh-CN"/>
        </w:rPr>
        <w:t>1</w:t>
      </w:r>
      <w:r>
        <w:rPr>
          <w:rFonts w:hint="eastAsia" w:asciiTheme="minorEastAsia" w:hAnsiTheme="minorEastAsia" w:eastAsiaTheme="minorEastAsia" w:cstheme="minorEastAsia"/>
          <w:b w:val="0"/>
          <w:bCs w:val="0"/>
          <w:sz w:val="24"/>
          <w:szCs w:val="24"/>
        </w:rPr>
        <w:t>、固废：本项目固体废物为原料过滤器产生污油，加氢精制反应器产生的废精制催化剂、废保护球、废瓷球，加氢反应器产生废加氢催化剂，脱硫反应器产生的废脱氯及脱硫剂、转化炉产生的废转化催化剂，中变器产生的废中变催化剂，PSA装置产生的废吸附剂（PSA装置）、废瓷球、废填料等。废保护球、废瓷球等一般固废由厂家回收或送往垃圾填埋场填埋，危废由厂家回收，污水处理站产生的污泥自建焚烧炉处置。</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2</w:t>
      </w:r>
      <w:r>
        <w:rPr>
          <w:rFonts w:hint="eastAsia" w:asciiTheme="minorEastAsia" w:hAnsiTheme="minorEastAsia" w:eastAsiaTheme="minorEastAsia" w:cstheme="minorEastAsia"/>
          <w:b w:val="0"/>
          <w:bCs w:val="0"/>
          <w:sz w:val="24"/>
          <w:szCs w:val="24"/>
        </w:rPr>
        <w:t>、噪声：本项目完成后四周厂界噪声预测值均能满足《工业企业厂界环境噪声排放标准》（GB12348-2008）3类标准（昼间65dB(A)、夜间55dB(A)）要求。</w:t>
      </w:r>
    </w:p>
    <w:p>
      <w:pPr>
        <w:pStyle w:val="3"/>
        <w:spacing w:before="120" w:after="120"/>
        <w:rPr>
          <w:rFonts w:ascii="Times New Roman" w:hAnsi="Times New Roman"/>
        </w:rPr>
      </w:pPr>
      <w:r>
        <w:rPr>
          <w:rFonts w:hint="eastAsia" w:ascii="Times New Roman" w:hAnsi="Times New Roman"/>
          <w:lang w:val="en-US" w:eastAsia="zh-CN"/>
        </w:rPr>
        <w:t>5</w:t>
      </w:r>
      <w:r>
        <w:rPr>
          <w:rFonts w:ascii="Times New Roman" w:hAnsi="Times New Roman"/>
        </w:rPr>
        <w:t>.2</w:t>
      </w:r>
      <w:bookmarkEnd w:id="30"/>
      <w:bookmarkEnd w:id="31"/>
      <w:r>
        <w:rPr>
          <w:rFonts w:ascii="Times New Roman" w:hAnsi="Times New Roman"/>
        </w:rPr>
        <w:t>审批部门审批决定</w:t>
      </w:r>
      <w:bookmarkEnd w:id="32"/>
      <w:bookmarkEnd w:id="33"/>
      <w:bookmarkEnd w:id="34"/>
      <w:bookmarkEnd w:id="35"/>
      <w:bookmarkEnd w:id="36"/>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eastAsia="宋体"/>
          <w:lang w:eastAsia="zh-CN"/>
        </w:rPr>
      </w:pPr>
      <w:bookmarkStart w:id="37" w:name="_Toc6888"/>
      <w:r>
        <w:t>《河南丰利石化有限公司60万吨/年中芳烃加氢改质工程环境影响报告书》批复见附件</w:t>
      </w:r>
      <w:r>
        <w:rPr>
          <w:rFonts w:hint="eastAsia"/>
        </w:rPr>
        <w:t>2</w:t>
      </w:r>
      <w:r>
        <w:rPr>
          <w:rFonts w:hint="eastAsia"/>
          <w:lang w:eastAsia="zh-CN"/>
        </w:rPr>
        <w:t>，执行标准意见见附件</w:t>
      </w:r>
      <w:r>
        <w:rPr>
          <w:rFonts w:hint="eastAsia"/>
          <w:lang w:val="en-US" w:eastAsia="zh-CN"/>
        </w:rPr>
        <w:t>3</w:t>
      </w:r>
      <w:bookmarkEnd w:id="37"/>
      <w:r>
        <w:rPr>
          <w:rFonts w:hint="eastAsia"/>
          <w:lang w:val="en-US" w:eastAsia="zh-CN"/>
        </w:rPr>
        <w:t>。</w:t>
      </w:r>
    </w:p>
    <w:p>
      <w:pPr>
        <w:overflowPunct w:val="0"/>
        <w:topLinePunct/>
        <w:spacing w:line="590" w:lineRule="exact"/>
        <w:ind w:firstLine="640" w:firstLineChars="200"/>
        <w:rPr>
          <w:rFonts w:ascii="Times New Roman" w:hAnsi="Times New Roman" w:eastAsia="方正黑体_GBK"/>
          <w:b/>
          <w:sz w:val="32"/>
          <w:szCs w:val="32"/>
        </w:rPr>
      </w:pPr>
      <w:r>
        <w:rPr>
          <w:rFonts w:ascii="Times New Roman" w:hAnsi="Times New Roman" w:eastAsia="方正黑体_GBK"/>
          <w:b/>
          <w:sz w:val="32"/>
          <w:szCs w:val="32"/>
        </w:rPr>
        <w:br w:type="page"/>
      </w:r>
    </w:p>
    <w:p>
      <w:pPr>
        <w:pStyle w:val="2"/>
      </w:pPr>
      <w:r>
        <w:t>6  厂界噪声验收执行标准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zh-CN" w:eastAsia="zh-CN"/>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val="zh-CN" w:eastAsia="zh-CN"/>
        </w:rPr>
        <w:t>执行标准：声环境：《声环境质量标准》(GB3096-2008)3类；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zh-CN"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val="zh-CN" w:eastAsia="zh-CN"/>
        </w:rPr>
        <w:t>监测方法：噪声：《工业企业厂界环境噪声排放标准》（GB12348-2008）3类标准。</w:t>
      </w:r>
    </w:p>
    <w:p>
      <w:pPr>
        <w:pStyle w:val="2"/>
        <w:rPr>
          <w:lang w:val="en-US" w:eastAsia="zh-CN"/>
        </w:rPr>
      </w:pPr>
      <w:r>
        <w:rPr>
          <w:lang w:val="en-US" w:eastAsia="zh-CN"/>
        </w:rPr>
        <w:br w:type="page"/>
      </w:r>
    </w:p>
    <w:p>
      <w:pPr>
        <w:pStyle w:val="2"/>
        <w:rPr>
          <w:lang w:val="en-US" w:eastAsia="zh-CN"/>
        </w:rPr>
      </w:pPr>
      <w:r>
        <w:rPr>
          <w:lang w:val="en-US" w:eastAsia="zh-CN"/>
        </w:rPr>
        <w:t>7  厂界噪声监测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厂界监测点位布置图见附图4。</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Cs w:val="28"/>
        </w:rPr>
      </w:pPr>
      <w:r>
        <w:rPr>
          <w:rFonts w:hint="eastAsia" w:asciiTheme="minorEastAsia" w:hAnsiTheme="minorEastAsia" w:eastAsiaTheme="minorEastAsia" w:cstheme="minorEastAsia"/>
          <w:sz w:val="24"/>
          <w:szCs w:val="24"/>
          <w:lang w:val="en-US" w:eastAsia="zh-CN"/>
        </w:rPr>
        <w:t>噪声监测内容见表8。</w:t>
      </w:r>
    </w:p>
    <w:p>
      <w:pPr>
        <w:pStyle w:val="12"/>
        <w:spacing w:after="120" w:afterLines="50"/>
        <w:ind w:firstLine="0" w:firstLineChars="0"/>
      </w:pPr>
      <w:r>
        <w:t>表</w:t>
      </w:r>
      <w:r>
        <w:rPr>
          <w:rFonts w:hint="eastAsia"/>
          <w:lang w:val="en-US" w:eastAsia="zh-CN"/>
        </w:rPr>
        <w:t>8</w:t>
      </w:r>
      <w:r>
        <w:t xml:space="preserve">    噪声监测内容</w:t>
      </w:r>
    </w:p>
    <w:tbl>
      <w:tblPr>
        <w:tblStyle w:val="10"/>
        <w:tblW w:w="8522"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2284"/>
        <w:gridCol w:w="2869"/>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69" w:type="dxa"/>
            <w:tcBorders>
              <w:top w:val="double" w:color="auto" w:sz="4" w:space="0"/>
            </w:tcBorders>
            <w:vAlign w:val="center"/>
          </w:tcPr>
          <w:p>
            <w:pPr>
              <w:pStyle w:val="13"/>
              <w:rPr>
                <w:b/>
                <w:color w:val="auto"/>
              </w:rPr>
            </w:pPr>
            <w:r>
              <w:rPr>
                <w:b/>
                <w:color w:val="auto"/>
              </w:rPr>
              <w:t>监测点位</w:t>
            </w:r>
          </w:p>
        </w:tc>
        <w:tc>
          <w:tcPr>
            <w:tcW w:w="2284" w:type="dxa"/>
            <w:tcBorders>
              <w:top w:val="double" w:color="auto" w:sz="4" w:space="0"/>
            </w:tcBorders>
            <w:vAlign w:val="center"/>
          </w:tcPr>
          <w:p>
            <w:pPr>
              <w:pStyle w:val="13"/>
              <w:rPr>
                <w:b/>
                <w:color w:val="auto"/>
              </w:rPr>
            </w:pPr>
            <w:r>
              <w:rPr>
                <w:b/>
                <w:color w:val="auto"/>
              </w:rPr>
              <w:t>监测因子</w:t>
            </w:r>
          </w:p>
        </w:tc>
        <w:tc>
          <w:tcPr>
            <w:tcW w:w="2869" w:type="dxa"/>
            <w:tcBorders>
              <w:top w:val="double" w:color="auto" w:sz="4" w:space="0"/>
            </w:tcBorders>
            <w:vAlign w:val="center"/>
          </w:tcPr>
          <w:p>
            <w:pPr>
              <w:pStyle w:val="13"/>
              <w:rPr>
                <w:b/>
                <w:color w:val="auto"/>
              </w:rPr>
            </w:pPr>
            <w:r>
              <w:rPr>
                <w:b/>
                <w:color w:val="auto"/>
              </w:rPr>
              <w:t>监测频次</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69" w:type="dxa"/>
            <w:vAlign w:val="center"/>
          </w:tcPr>
          <w:p>
            <w:pPr>
              <w:pStyle w:val="13"/>
              <w:rPr>
                <w:color w:val="auto"/>
              </w:rPr>
            </w:pPr>
            <w:r>
              <w:rPr>
                <w:color w:val="auto"/>
              </w:rPr>
              <w:t>东厂界外1m处、南厂界外1m处</w:t>
            </w:r>
          </w:p>
          <w:p>
            <w:pPr>
              <w:pStyle w:val="13"/>
              <w:rPr>
                <w:color w:val="auto"/>
              </w:rPr>
            </w:pPr>
            <w:r>
              <w:rPr>
                <w:color w:val="auto"/>
              </w:rPr>
              <w:t>西厂界外1m处、北厂界外1m处</w:t>
            </w:r>
          </w:p>
        </w:tc>
        <w:tc>
          <w:tcPr>
            <w:tcW w:w="2284" w:type="dxa"/>
            <w:vAlign w:val="center"/>
          </w:tcPr>
          <w:p>
            <w:pPr>
              <w:pStyle w:val="13"/>
              <w:rPr>
                <w:color w:val="auto"/>
              </w:rPr>
            </w:pPr>
            <w:r>
              <w:rPr>
                <w:color w:val="auto"/>
              </w:rPr>
              <w:t>等效连续A声级</w:t>
            </w:r>
          </w:p>
        </w:tc>
        <w:tc>
          <w:tcPr>
            <w:tcW w:w="2869" w:type="dxa"/>
            <w:vAlign w:val="center"/>
          </w:tcPr>
          <w:p>
            <w:pPr>
              <w:pStyle w:val="13"/>
              <w:rPr>
                <w:color w:val="auto"/>
              </w:rPr>
            </w:pPr>
            <w:r>
              <w:rPr>
                <w:color w:val="auto"/>
              </w:rPr>
              <w:t>昼夜各1次，</w:t>
            </w:r>
            <w:r>
              <w:rPr>
                <w:szCs w:val="22"/>
              </w:rPr>
              <w:t>连续</w:t>
            </w:r>
            <w:r>
              <w:rPr>
                <w:color w:val="auto"/>
              </w:rPr>
              <w:t>2天</w:t>
            </w:r>
          </w:p>
        </w:tc>
      </w:tr>
    </w:tbl>
    <w:p>
      <w:pPr>
        <w:pStyle w:val="2"/>
        <w:rPr>
          <w:lang w:val="en-US" w:eastAsia="zh-CN"/>
        </w:rPr>
      </w:pPr>
      <w:r>
        <w:rPr>
          <w:lang w:val="en-US" w:eastAsia="zh-CN"/>
        </w:rPr>
        <w:br w:type="page"/>
      </w:r>
    </w:p>
    <w:p>
      <w:pPr>
        <w:pStyle w:val="2"/>
        <w:rPr>
          <w:lang w:val="en-US" w:eastAsia="zh-CN"/>
        </w:rPr>
      </w:pPr>
      <w:r>
        <w:rPr>
          <w:lang w:val="en-US" w:eastAsia="zh-CN"/>
        </w:rPr>
        <w:t>8  质量保证及质量控制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1、监测质量保证和质量控制按照HJ/T373、HJ/T91、HJ/T92、HJ/T194、HJ/T164、HJ/T166、GB17378.2等环境监测技术规范相关章节要求进行。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2、监测点位布设、监测因子与频次及抽样率规定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合理布设监测点位，保证各监测点位布设的科学性和可比性。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3、监测方法选择、人员资质管理及监测仪器检定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监测分析方法采用国家有关部门颁布的标准（或推荐）分析方法，监测人员经过考核并持有合格证书，所有监测仪器经计量部门检定合格并在有效期内。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4、监测数据和技术报告执行三级审核制度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5、采样、测试分析治理保证和质量控制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（3）噪声监测分析过程中的质量保证和质量控制：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监测室使用经计量部门检定，并在有效期内的声级计，声级计在测试前后用标准发声源进行校准，测量前后仪器的灵敏度相差不大于0.5dB，若大于0.5dB，则测试数据无效。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噪声监测在无雨、无雪、风速小于5.5m/s的气象条件下进行，测量时传声器加戴防风罩。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声级计使用前后进行校准，其示值偏差符合监测技术规范要求（△L≤0.5dB（A））。</w:t>
      </w:r>
    </w:p>
    <w:p>
      <w:pPr>
        <w:pStyle w:val="3"/>
      </w:pPr>
      <w:r>
        <w:t>8.1  监测分析方法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本次验收监测严格执行国家环保局颁发的《环境监测技术规范》和《环境监测质量保证管理规定》（暂行），并按本公司《质量手册》的有关要求进行，实施全过程的质量保证和控制。</w:t>
      </w:r>
    </w:p>
    <w:p>
      <w:pPr>
        <w:pStyle w:val="12"/>
        <w:spacing w:after="120" w:afterLines="50"/>
        <w:ind w:firstLine="0" w:firstLineChars="0"/>
      </w:pPr>
      <w:r>
        <w:t>表</w:t>
      </w:r>
      <w:r>
        <w:rPr>
          <w:rFonts w:hint="eastAsia"/>
          <w:lang w:val="en-US" w:eastAsia="zh-CN"/>
        </w:rPr>
        <w:t>9</w:t>
      </w:r>
      <w:r>
        <w:t xml:space="preserve">   验收监测分析方法</w:t>
      </w:r>
    </w:p>
    <w:tbl>
      <w:tblPr>
        <w:tblStyle w:val="10"/>
        <w:tblW w:w="8474" w:type="dxa"/>
        <w:jc w:val="center"/>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Layout w:type="fixed"/>
        <w:tblCellMar>
          <w:top w:w="0" w:type="dxa"/>
          <w:left w:w="0" w:type="dxa"/>
          <w:bottom w:w="0" w:type="dxa"/>
          <w:right w:w="0" w:type="dxa"/>
        </w:tblCellMar>
      </w:tblPr>
      <w:tblGrid>
        <w:gridCol w:w="611"/>
        <w:gridCol w:w="1149"/>
        <w:gridCol w:w="2087"/>
        <w:gridCol w:w="2160"/>
        <w:gridCol w:w="1224"/>
        <w:gridCol w:w="1243"/>
      </w:tblGrid>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454" w:hRule="atLeast"/>
          <w:tblHeader/>
          <w:jc w:val="center"/>
        </w:trPr>
        <w:tc>
          <w:tcPr>
            <w:tcW w:w="611" w:type="dxa"/>
            <w:tcBorders>
              <w:top w:val="double" w:color="000000" w:sz="4" w:space="0"/>
            </w:tcBorders>
            <w:vAlign w:val="center"/>
          </w:tcPr>
          <w:p>
            <w:pPr>
              <w:pStyle w:val="13"/>
              <w:spacing w:line="360" w:lineRule="exact"/>
              <w:rPr>
                <w:b/>
                <w:color w:val="auto"/>
                <w:szCs w:val="21"/>
              </w:rPr>
            </w:pPr>
            <w:r>
              <w:rPr>
                <w:b/>
                <w:color w:val="auto"/>
                <w:szCs w:val="21"/>
              </w:rPr>
              <w:t>序号</w:t>
            </w:r>
          </w:p>
        </w:tc>
        <w:tc>
          <w:tcPr>
            <w:tcW w:w="1149" w:type="dxa"/>
            <w:tcBorders>
              <w:top w:val="double" w:color="000000" w:sz="4" w:space="0"/>
            </w:tcBorders>
            <w:vAlign w:val="center"/>
          </w:tcPr>
          <w:p>
            <w:pPr>
              <w:pStyle w:val="13"/>
              <w:spacing w:line="360" w:lineRule="exact"/>
              <w:rPr>
                <w:b/>
                <w:color w:val="auto"/>
                <w:szCs w:val="21"/>
              </w:rPr>
            </w:pPr>
            <w:r>
              <w:rPr>
                <w:b/>
                <w:color w:val="auto"/>
                <w:szCs w:val="21"/>
              </w:rPr>
              <w:t>项目</w:t>
            </w:r>
          </w:p>
        </w:tc>
        <w:tc>
          <w:tcPr>
            <w:tcW w:w="2087" w:type="dxa"/>
            <w:tcBorders>
              <w:top w:val="double" w:color="000000" w:sz="4" w:space="0"/>
            </w:tcBorders>
            <w:vAlign w:val="center"/>
          </w:tcPr>
          <w:p>
            <w:pPr>
              <w:pStyle w:val="13"/>
              <w:spacing w:line="360" w:lineRule="exact"/>
              <w:rPr>
                <w:b/>
                <w:color w:val="auto"/>
                <w:szCs w:val="21"/>
              </w:rPr>
            </w:pPr>
            <w:r>
              <w:rPr>
                <w:b/>
                <w:color w:val="auto"/>
                <w:szCs w:val="21"/>
              </w:rPr>
              <w:t>检测方法</w:t>
            </w:r>
          </w:p>
        </w:tc>
        <w:tc>
          <w:tcPr>
            <w:tcW w:w="2160" w:type="dxa"/>
            <w:tcBorders>
              <w:top w:val="double" w:color="000000" w:sz="4" w:space="0"/>
            </w:tcBorders>
            <w:vAlign w:val="center"/>
          </w:tcPr>
          <w:p>
            <w:pPr>
              <w:pStyle w:val="13"/>
              <w:spacing w:line="360" w:lineRule="exact"/>
              <w:rPr>
                <w:b/>
                <w:color w:val="auto"/>
                <w:szCs w:val="21"/>
              </w:rPr>
            </w:pPr>
            <w:r>
              <w:rPr>
                <w:b/>
                <w:color w:val="auto"/>
                <w:szCs w:val="21"/>
              </w:rPr>
              <w:t>方法来源</w:t>
            </w:r>
          </w:p>
        </w:tc>
        <w:tc>
          <w:tcPr>
            <w:tcW w:w="1224" w:type="dxa"/>
            <w:tcBorders>
              <w:top w:val="double" w:color="000000" w:sz="4" w:space="0"/>
              <w:right w:val="single" w:color="auto" w:sz="4" w:space="0"/>
            </w:tcBorders>
            <w:vAlign w:val="center"/>
          </w:tcPr>
          <w:p>
            <w:pPr>
              <w:pStyle w:val="13"/>
              <w:spacing w:line="360" w:lineRule="exact"/>
              <w:rPr>
                <w:b/>
                <w:color w:val="auto"/>
                <w:szCs w:val="21"/>
              </w:rPr>
            </w:pPr>
            <w:r>
              <w:rPr>
                <w:b/>
                <w:color w:val="auto"/>
                <w:szCs w:val="21"/>
              </w:rPr>
              <w:t>使用仪器</w:t>
            </w:r>
          </w:p>
        </w:tc>
        <w:tc>
          <w:tcPr>
            <w:tcW w:w="1243" w:type="dxa"/>
            <w:tcBorders>
              <w:top w:val="double" w:color="000000" w:sz="4" w:space="0"/>
              <w:left w:val="single" w:color="auto" w:sz="4" w:space="0"/>
            </w:tcBorders>
            <w:vAlign w:val="center"/>
          </w:tcPr>
          <w:p>
            <w:pPr>
              <w:pStyle w:val="13"/>
              <w:spacing w:line="360" w:lineRule="exact"/>
              <w:rPr>
                <w:b/>
                <w:color w:val="auto"/>
                <w:szCs w:val="21"/>
              </w:rPr>
            </w:pPr>
            <w:r>
              <w:rPr>
                <w:b/>
                <w:color w:val="auto"/>
                <w:szCs w:val="21"/>
              </w:rPr>
              <w:t>检出限</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噪声</w:t>
            </w:r>
          </w:p>
        </w:tc>
        <w:tc>
          <w:tcPr>
            <w:tcW w:w="2087"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工业企业厂界噪声排放标准</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GB 12348-2008</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AWA5688多功能声级计</w:t>
            </w:r>
          </w:p>
        </w:tc>
        <w:tc>
          <w:tcPr>
            <w:tcW w:w="1243" w:type="dxa"/>
            <w:tcBorders>
              <w:lef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szCs w:val="21"/>
              </w:rPr>
              <w:t>28 dB(A)</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shd w:val="clear" w:color="auto" w:fill="auto"/>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颗粒物</w:t>
            </w:r>
          </w:p>
        </w:tc>
        <w:tc>
          <w:tcPr>
            <w:tcW w:w="2087" w:type="dxa"/>
            <w:shd w:val="clear" w:color="auto" w:fill="FFFFFF"/>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环境空气总悬浮颗粒物的测定重量法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GB/T 15432-95</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电子分析天平BSA224S</w:t>
            </w:r>
          </w:p>
        </w:tc>
        <w:tc>
          <w:tcPr>
            <w:tcW w:w="1243" w:type="dxa"/>
            <w:tcBorders>
              <w:lef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0.001mg/m</w:t>
            </w:r>
            <w:r>
              <w:rPr>
                <w:rFonts w:ascii="Times New Roman" w:hAnsi="Times New Roman" w:eastAsia="宋体"/>
                <w:color w:val="auto"/>
                <w:szCs w:val="21"/>
                <w:vertAlign w:val="superscript"/>
              </w:rPr>
              <w:t>3</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shd w:val="clear" w:color="auto" w:fill="auto"/>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颗粒物</w:t>
            </w:r>
          </w:p>
        </w:tc>
        <w:tc>
          <w:tcPr>
            <w:tcW w:w="2087" w:type="dxa"/>
            <w:shd w:val="clear" w:color="auto" w:fill="FFFFFF"/>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固定污染源排气中颗粒物测定与气态污染物采样方法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GB/T 16157-1996</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w:t>
            </w:r>
          </w:p>
        </w:tc>
        <w:tc>
          <w:tcPr>
            <w:tcW w:w="1243" w:type="dxa"/>
            <w:tcBorders>
              <w:lef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SO</w:t>
            </w:r>
            <w:r>
              <w:rPr>
                <w:rFonts w:ascii="Times New Roman" w:hAnsi="Times New Roman"/>
                <w:kern w:val="2"/>
                <w:sz w:val="21"/>
                <w:szCs w:val="21"/>
                <w:vertAlign w:val="subscript"/>
              </w:rPr>
              <w:t>2</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环境空气 二氧化硫的测定 甲醛吸收-副玫瑰苯胺分光光度法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HJ 482-2009</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TU-1901紫外可见分光光度计</w:t>
            </w:r>
          </w:p>
        </w:tc>
        <w:tc>
          <w:tcPr>
            <w:tcW w:w="1243" w:type="dxa"/>
            <w:tcBorders>
              <w:left w:val="single" w:color="auto" w:sz="4" w:space="0"/>
            </w:tcBorders>
            <w:vAlign w:val="center"/>
          </w:tcPr>
          <w:p>
            <w:pPr>
              <w:spacing w:line="360" w:lineRule="exact"/>
              <w:ind w:firstLine="0" w:firstLineChars="0"/>
              <w:jc w:val="center"/>
              <w:rPr>
                <w:rFonts w:ascii="Times New Roman" w:hAnsi="Times New Roman"/>
                <w:kern w:val="2"/>
                <w:sz w:val="21"/>
                <w:szCs w:val="21"/>
                <w:vertAlign w:val="superscript"/>
              </w:rPr>
            </w:pPr>
            <w:r>
              <w:rPr>
                <w:rFonts w:ascii="Times New Roman" w:hAnsi="Times New Roman"/>
                <w:kern w:val="2"/>
                <w:sz w:val="21"/>
                <w:szCs w:val="21"/>
              </w:rPr>
              <w:t>小时值0.007 mg/m</w:t>
            </w:r>
            <w:r>
              <w:rPr>
                <w:rFonts w:ascii="Times New Roman" w:hAnsi="Times New Roman"/>
                <w:kern w:val="2"/>
                <w:sz w:val="21"/>
                <w:szCs w:val="21"/>
                <w:vertAlign w:val="superscript"/>
              </w:rPr>
              <w:t>3</w:t>
            </w:r>
          </w:p>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日均值0.004 mg/m</w:t>
            </w:r>
            <w:r>
              <w:rPr>
                <w:rFonts w:ascii="Times New Roman" w:hAnsi="Times New Roman"/>
                <w:kern w:val="2"/>
                <w:sz w:val="21"/>
                <w:szCs w:val="21"/>
                <w:vertAlign w:val="superscript"/>
              </w:rPr>
              <w:t>3</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NO</w:t>
            </w:r>
            <w:r>
              <w:rPr>
                <w:rFonts w:ascii="Times New Roman" w:hAnsi="Times New Roman"/>
                <w:kern w:val="2"/>
                <w:sz w:val="21"/>
                <w:szCs w:val="21"/>
                <w:vertAlign w:val="subscript"/>
              </w:rPr>
              <w:t>2</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环境空气氮氧化物的测定 盐酸萘乙二胺分光光度法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HJ 479-2009</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TU-1901紫外可见分光光度计</w:t>
            </w:r>
          </w:p>
        </w:tc>
        <w:tc>
          <w:tcPr>
            <w:tcW w:w="1243" w:type="dxa"/>
            <w:tcBorders>
              <w:left w:val="single" w:color="auto" w:sz="4" w:space="0"/>
            </w:tcBorders>
            <w:vAlign w:val="center"/>
          </w:tcPr>
          <w:p>
            <w:pPr>
              <w:spacing w:line="360" w:lineRule="exact"/>
              <w:ind w:firstLine="0" w:firstLineChars="0"/>
              <w:rPr>
                <w:rFonts w:ascii="Times New Roman" w:hAnsi="Times New Roman"/>
                <w:kern w:val="2"/>
                <w:sz w:val="21"/>
                <w:szCs w:val="21"/>
              </w:rPr>
            </w:pPr>
            <w:r>
              <w:rPr>
                <w:rFonts w:ascii="Times New Roman" w:hAnsi="Times New Roman"/>
                <w:kern w:val="2"/>
                <w:sz w:val="21"/>
                <w:szCs w:val="21"/>
              </w:rPr>
              <w:t>小时值</w:t>
            </w:r>
          </w:p>
          <w:p>
            <w:pPr>
              <w:spacing w:line="360" w:lineRule="exact"/>
              <w:ind w:firstLine="0" w:firstLineChars="0"/>
              <w:rPr>
                <w:rFonts w:ascii="Times New Roman" w:hAnsi="Times New Roman"/>
                <w:kern w:val="2"/>
                <w:sz w:val="21"/>
                <w:szCs w:val="21"/>
                <w:vertAlign w:val="superscript"/>
              </w:rPr>
            </w:pPr>
            <w:r>
              <w:rPr>
                <w:rFonts w:ascii="Times New Roman" w:hAnsi="Times New Roman"/>
                <w:kern w:val="2"/>
                <w:sz w:val="21"/>
                <w:szCs w:val="21"/>
              </w:rPr>
              <w:t>0.</w:t>
            </w:r>
            <w:r>
              <w:rPr>
                <w:rFonts w:hint="eastAsia" w:ascii="Times New Roman" w:hAnsi="Times New Roman"/>
                <w:kern w:val="2"/>
                <w:sz w:val="21"/>
                <w:szCs w:val="21"/>
              </w:rPr>
              <w:t>005</w:t>
            </w:r>
            <w:r>
              <w:rPr>
                <w:rFonts w:ascii="Times New Roman" w:hAnsi="Times New Roman"/>
                <w:kern w:val="2"/>
                <w:sz w:val="21"/>
                <w:szCs w:val="21"/>
              </w:rPr>
              <w:t>mg/m</w:t>
            </w:r>
            <w:r>
              <w:rPr>
                <w:rFonts w:ascii="Times New Roman" w:hAnsi="Times New Roman"/>
                <w:kern w:val="2"/>
                <w:sz w:val="21"/>
                <w:szCs w:val="21"/>
                <w:vertAlign w:val="superscript"/>
              </w:rPr>
              <w:t>3</w:t>
            </w:r>
          </w:p>
          <w:p>
            <w:pPr>
              <w:spacing w:line="360" w:lineRule="exact"/>
              <w:ind w:firstLine="0" w:firstLineChars="0"/>
              <w:rPr>
                <w:rFonts w:ascii="Times New Roman" w:hAnsi="Times New Roman"/>
                <w:kern w:val="2"/>
                <w:sz w:val="21"/>
                <w:szCs w:val="21"/>
              </w:rPr>
            </w:pPr>
            <w:r>
              <w:rPr>
                <w:rFonts w:ascii="Times New Roman" w:hAnsi="Times New Roman"/>
                <w:kern w:val="2"/>
                <w:sz w:val="21"/>
                <w:szCs w:val="21"/>
              </w:rPr>
              <w:t>日均值</w:t>
            </w:r>
          </w:p>
          <w:p>
            <w:pPr>
              <w:spacing w:line="360" w:lineRule="exact"/>
              <w:ind w:firstLine="0" w:firstLineChars="0"/>
              <w:rPr>
                <w:rFonts w:ascii="Times New Roman" w:hAnsi="Times New Roman"/>
                <w:kern w:val="2"/>
                <w:sz w:val="21"/>
                <w:szCs w:val="21"/>
              </w:rPr>
            </w:pPr>
            <w:r>
              <w:rPr>
                <w:rFonts w:ascii="Times New Roman" w:hAnsi="Times New Roman"/>
                <w:kern w:val="2"/>
                <w:sz w:val="21"/>
                <w:szCs w:val="21"/>
              </w:rPr>
              <w:t>0.</w:t>
            </w:r>
            <w:r>
              <w:rPr>
                <w:rFonts w:hint="eastAsia" w:ascii="Times New Roman" w:hAnsi="Times New Roman"/>
                <w:kern w:val="2"/>
                <w:sz w:val="21"/>
                <w:szCs w:val="21"/>
              </w:rPr>
              <w:t>003</w:t>
            </w:r>
            <w:r>
              <w:rPr>
                <w:rFonts w:ascii="Times New Roman" w:hAnsi="Times New Roman"/>
                <w:kern w:val="2"/>
                <w:sz w:val="21"/>
                <w:szCs w:val="21"/>
              </w:rPr>
              <w:t>mg/m</w:t>
            </w:r>
            <w:r>
              <w:rPr>
                <w:rFonts w:ascii="Times New Roman" w:hAnsi="Times New Roman"/>
                <w:kern w:val="2"/>
                <w:sz w:val="21"/>
                <w:szCs w:val="21"/>
                <w:vertAlign w:val="superscript"/>
              </w:rPr>
              <w:t>3</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775"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苯系物</w:t>
            </w:r>
          </w:p>
        </w:tc>
        <w:tc>
          <w:tcPr>
            <w:tcW w:w="2087"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环境空气 苯系物的测定 活性炭吸附/二硫化碳解吸-气相色谱法</w:t>
            </w:r>
          </w:p>
        </w:tc>
        <w:tc>
          <w:tcPr>
            <w:tcW w:w="2160"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HJ 584-2010</w:t>
            </w:r>
          </w:p>
        </w:tc>
        <w:tc>
          <w:tcPr>
            <w:tcW w:w="1224" w:type="dxa"/>
            <w:tcBorders>
              <w:right w:val="single" w:color="auto" w:sz="4"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Agilent 7820A气相色谱仪</w:t>
            </w:r>
          </w:p>
        </w:tc>
        <w:tc>
          <w:tcPr>
            <w:tcW w:w="1243" w:type="dxa"/>
            <w:tcBorders>
              <w:left w:val="single" w:color="auto" w:sz="4"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1.5×10</w:t>
            </w:r>
            <w:r>
              <w:rPr>
                <w:rFonts w:ascii="Times New Roman" w:hAnsi="Times New Roman"/>
                <w:kern w:val="2"/>
                <w:sz w:val="21"/>
                <w:szCs w:val="21"/>
                <w:vertAlign w:val="superscript"/>
              </w:rPr>
              <w:t>-3</w:t>
            </w:r>
            <w:r>
              <w:rPr>
                <w:rFonts w:ascii="Times New Roman" w:hAnsi="Times New Roman"/>
                <w:kern w:val="2"/>
                <w:sz w:val="21"/>
                <w:szCs w:val="21"/>
              </w:rPr>
              <w:t xml:space="preserve"> mg/m</w:t>
            </w:r>
            <w:r>
              <w:rPr>
                <w:rFonts w:ascii="Times New Roman" w:hAnsi="Times New Roman"/>
                <w:kern w:val="2"/>
                <w:sz w:val="21"/>
                <w:szCs w:val="21"/>
                <w:vertAlign w:val="superscript"/>
              </w:rPr>
              <w:t>3</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非甲烷总烃</w:t>
            </w:r>
          </w:p>
        </w:tc>
        <w:tc>
          <w:tcPr>
            <w:tcW w:w="2087" w:type="dxa"/>
            <w:vAlign w:val="center"/>
          </w:tcPr>
          <w:p>
            <w:pPr>
              <w:pStyle w:val="15"/>
              <w:overflowPunct w:val="0"/>
              <w:topLinePunct/>
              <w:spacing w:before="120" w:beforeLines="50" w:line="360" w:lineRule="exact"/>
              <w:rPr>
                <w:rFonts w:ascii="Times New Roman" w:hAnsi="Times New Roman" w:eastAsia="宋体"/>
                <w:color w:val="auto"/>
                <w:szCs w:val="21"/>
              </w:rPr>
            </w:pPr>
            <w:r>
              <w:rPr>
                <w:rFonts w:ascii="Times New Roman" w:hAnsi="Times New Roman" w:eastAsia="宋体"/>
                <w:color w:val="auto"/>
                <w:szCs w:val="21"/>
              </w:rPr>
              <w:t>固定污染源排气中非甲烷总烃的测定 气相色谱法</w:t>
            </w:r>
          </w:p>
        </w:tc>
        <w:tc>
          <w:tcPr>
            <w:tcW w:w="2160"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HJ/T 38-1999</w:t>
            </w:r>
          </w:p>
        </w:tc>
        <w:tc>
          <w:tcPr>
            <w:tcW w:w="1224" w:type="dxa"/>
            <w:tcBorders>
              <w:right w:val="single" w:color="auto" w:sz="4"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GC9790II非甲烷总烃测定仪</w:t>
            </w:r>
          </w:p>
        </w:tc>
        <w:tc>
          <w:tcPr>
            <w:tcW w:w="1243" w:type="dxa"/>
            <w:tcBorders>
              <w:left w:val="single" w:color="auto" w:sz="4"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4×10</w:t>
            </w:r>
            <w:r>
              <w:rPr>
                <w:rFonts w:ascii="Times New Roman" w:hAnsi="Times New Roman"/>
                <w:kern w:val="2"/>
                <w:sz w:val="21"/>
                <w:szCs w:val="21"/>
                <w:vertAlign w:val="superscript"/>
              </w:rPr>
              <w:t>-2</w:t>
            </w:r>
            <w:r>
              <w:rPr>
                <w:rFonts w:ascii="Times New Roman" w:hAnsi="Times New Roman"/>
                <w:kern w:val="2"/>
                <w:sz w:val="21"/>
                <w:szCs w:val="21"/>
              </w:rPr>
              <w:t xml:space="preserve"> mg/m</w:t>
            </w:r>
            <w:r>
              <w:rPr>
                <w:rFonts w:ascii="Times New Roman" w:hAnsi="Times New Roman"/>
                <w:kern w:val="2"/>
                <w:sz w:val="21"/>
                <w:szCs w:val="21"/>
                <w:vertAlign w:val="superscript"/>
              </w:rPr>
              <w:t>3</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H</w:t>
            </w:r>
            <w:r>
              <w:rPr>
                <w:rFonts w:ascii="Times New Roman" w:hAnsi="Times New Roman"/>
                <w:kern w:val="2"/>
                <w:sz w:val="21"/>
                <w:szCs w:val="21"/>
                <w:vertAlign w:val="subscript"/>
              </w:rPr>
              <w:t>2</w:t>
            </w:r>
            <w:r>
              <w:rPr>
                <w:rFonts w:ascii="Times New Roman" w:hAnsi="Times New Roman"/>
                <w:kern w:val="2"/>
                <w:sz w:val="21"/>
                <w:szCs w:val="21"/>
              </w:rPr>
              <w:t>S</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bCs/>
                <w:kern w:val="2"/>
                <w:sz w:val="21"/>
                <w:szCs w:val="21"/>
              </w:rPr>
              <w:t>环境空气和废气硫化氢的测定 亚甲基蓝分光光度法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《空气和废气监测分析方法》(第四版增补版)  国家环境保护总局(2007年)</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TU-1901紫外可见分光光度计</w:t>
            </w:r>
          </w:p>
        </w:tc>
        <w:tc>
          <w:tcPr>
            <w:tcW w:w="1243" w:type="dxa"/>
            <w:tcBorders>
              <w:left w:val="single" w:color="auto" w:sz="4"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0.001 mg/m³</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氨</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bCs/>
                <w:kern w:val="2"/>
                <w:sz w:val="21"/>
                <w:szCs w:val="21"/>
              </w:rPr>
              <w:t>环境空气和废气氨的测定 纳氏试剂分光光度法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HJ 533-2009</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TU-1901紫外可见分光光度计</w:t>
            </w:r>
          </w:p>
        </w:tc>
        <w:tc>
          <w:tcPr>
            <w:tcW w:w="1243" w:type="dxa"/>
            <w:tcBorders>
              <w:left w:val="single" w:color="auto" w:sz="4"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0.01 mg/m³</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SO</w:t>
            </w:r>
            <w:r>
              <w:rPr>
                <w:rFonts w:ascii="Times New Roman" w:hAnsi="Times New Roman"/>
                <w:kern w:val="2"/>
                <w:sz w:val="21"/>
                <w:szCs w:val="21"/>
                <w:vertAlign w:val="subscript"/>
              </w:rPr>
              <w:t>2</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固定污染源排气中二氧化硫的测定定电位电解法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HJ/T 57-2000</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TU-1901紫外可见分光光度计</w:t>
            </w:r>
          </w:p>
        </w:tc>
        <w:tc>
          <w:tcPr>
            <w:tcW w:w="1243" w:type="dxa"/>
            <w:tcBorders>
              <w:lef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szCs w:val="21"/>
              </w:rPr>
              <w:t>15 mg/m</w:t>
            </w:r>
            <w:r>
              <w:rPr>
                <w:rFonts w:ascii="Times New Roman" w:hAnsi="Times New Roman"/>
                <w:szCs w:val="21"/>
                <w:vertAlign w:val="superscript"/>
              </w:rPr>
              <w:t>3</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NO</w:t>
            </w:r>
            <w:r>
              <w:rPr>
                <w:rFonts w:ascii="Times New Roman" w:hAnsi="Times New Roman"/>
                <w:kern w:val="2"/>
                <w:sz w:val="21"/>
                <w:szCs w:val="21"/>
                <w:vertAlign w:val="subscript"/>
              </w:rPr>
              <w:t>x</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固定污染源排气中氮氧化物的测定定电位电解法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《空气和废气监测分析方法》(第四版增补版)  国家环境保护总局(2007年)</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TU-1901紫外可见分光光度计</w:t>
            </w:r>
          </w:p>
        </w:tc>
        <w:tc>
          <w:tcPr>
            <w:tcW w:w="1243" w:type="dxa"/>
            <w:tcBorders>
              <w:lef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szCs w:val="21"/>
              </w:rPr>
              <w:t>1.34 mg/m</w:t>
            </w:r>
            <w:r>
              <w:rPr>
                <w:rFonts w:ascii="Times New Roman" w:hAnsi="Times New Roman"/>
                <w:szCs w:val="21"/>
                <w:vertAlign w:val="superscript"/>
              </w:rPr>
              <w:t>3</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酚类化合物</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固定污染源排气中酚类化合物的测定 4-氨基安替比林分光光度法</w:t>
            </w:r>
          </w:p>
        </w:tc>
        <w:tc>
          <w:tcPr>
            <w:tcW w:w="2160"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HJ/T 32-1999</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TU-1901紫外可见分光光度计</w:t>
            </w:r>
          </w:p>
        </w:tc>
        <w:tc>
          <w:tcPr>
            <w:tcW w:w="1243" w:type="dxa"/>
            <w:tcBorders>
              <w:left w:val="single" w:color="auto" w:sz="4" w:space="0"/>
            </w:tcBorders>
            <w:vAlign w:val="center"/>
          </w:tcPr>
          <w:p>
            <w:pPr>
              <w:pStyle w:val="15"/>
              <w:overflowPunct w:val="0"/>
              <w:topLinePunct/>
              <w:spacing w:line="360" w:lineRule="exact"/>
              <w:rPr>
                <w:rFonts w:ascii="Times New Roman" w:hAnsi="Times New Roman"/>
                <w:szCs w:val="21"/>
              </w:rPr>
            </w:pPr>
            <w:r>
              <w:rPr>
                <w:rFonts w:ascii="Times New Roman" w:hAnsi="Times New Roman"/>
                <w:szCs w:val="21"/>
              </w:rPr>
              <w:t>0.3mg/m</w:t>
            </w:r>
            <w:r>
              <w:rPr>
                <w:rFonts w:ascii="Times New Roman" w:hAnsi="Times New Roman"/>
                <w:szCs w:val="21"/>
                <w:vertAlign w:val="superscript"/>
              </w:rPr>
              <w:t>3</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pH</w:t>
            </w:r>
          </w:p>
        </w:tc>
        <w:tc>
          <w:tcPr>
            <w:tcW w:w="2087"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水质  pH值的测定 玻璃电极法</w:t>
            </w:r>
          </w:p>
        </w:tc>
        <w:tc>
          <w:tcPr>
            <w:tcW w:w="2160"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GB/T 6920-1986</w:t>
            </w:r>
          </w:p>
        </w:tc>
        <w:tc>
          <w:tcPr>
            <w:tcW w:w="1224" w:type="dxa"/>
            <w:tcBorders>
              <w:right w:val="single" w:color="auto" w:sz="4" w:space="0"/>
            </w:tcBorders>
            <w:vAlign w:val="center"/>
          </w:tcPr>
          <w:p>
            <w:pPr>
              <w:pStyle w:val="13"/>
              <w:spacing w:line="360" w:lineRule="exact"/>
              <w:rPr>
                <w:color w:val="auto"/>
                <w:szCs w:val="21"/>
              </w:rPr>
            </w:pPr>
            <w:r>
              <w:rPr>
                <w:color w:val="auto"/>
                <w:szCs w:val="21"/>
              </w:rPr>
              <w:t>PHS-3C PH计</w:t>
            </w:r>
          </w:p>
        </w:tc>
        <w:tc>
          <w:tcPr>
            <w:tcW w:w="1243" w:type="dxa"/>
            <w:tcBorders>
              <w:left w:val="single" w:color="auto" w:sz="4" w:space="0"/>
            </w:tcBorders>
            <w:vAlign w:val="center"/>
          </w:tcPr>
          <w:p>
            <w:pPr>
              <w:pStyle w:val="13"/>
              <w:spacing w:line="360" w:lineRule="exact"/>
              <w:rPr>
                <w:color w:val="auto"/>
                <w:szCs w:val="21"/>
              </w:rPr>
            </w:pPr>
            <w:r>
              <w:rPr>
                <w:color w:val="auto"/>
                <w:szCs w:val="21"/>
              </w:rPr>
              <w:t>/</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总硬度</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水质  钙和镁总量的测定 EDTA滴定法</w:t>
            </w:r>
          </w:p>
        </w:tc>
        <w:tc>
          <w:tcPr>
            <w:tcW w:w="2160" w:type="dxa"/>
            <w:vAlign w:val="center"/>
          </w:tcPr>
          <w:p>
            <w:pPr>
              <w:spacing w:line="360" w:lineRule="exact"/>
              <w:ind w:firstLine="0" w:firstLineChars="0"/>
              <w:jc w:val="center"/>
              <w:textAlignment w:val="center"/>
              <w:rPr>
                <w:rFonts w:ascii="Times New Roman" w:hAnsi="Times New Roman"/>
                <w:kern w:val="2"/>
                <w:sz w:val="21"/>
                <w:szCs w:val="21"/>
              </w:rPr>
            </w:pPr>
            <w:r>
              <w:rPr>
                <w:rFonts w:ascii="Times New Roman" w:hAnsi="Times New Roman"/>
                <w:kern w:val="2"/>
                <w:sz w:val="21"/>
                <w:szCs w:val="21"/>
              </w:rPr>
              <w:t>GB/T 7477-1987</w:t>
            </w:r>
          </w:p>
        </w:tc>
        <w:tc>
          <w:tcPr>
            <w:tcW w:w="1224" w:type="dxa"/>
            <w:tcBorders>
              <w:right w:val="single" w:color="auto" w:sz="4" w:space="0"/>
            </w:tcBorders>
            <w:vAlign w:val="center"/>
          </w:tcPr>
          <w:p>
            <w:pPr>
              <w:pStyle w:val="13"/>
              <w:spacing w:line="360" w:lineRule="exact"/>
              <w:rPr>
                <w:color w:val="auto"/>
                <w:szCs w:val="21"/>
              </w:rPr>
            </w:pPr>
            <w:r>
              <w:rPr>
                <w:color w:val="auto"/>
                <w:szCs w:val="21"/>
              </w:rPr>
              <w:t>/</w:t>
            </w:r>
          </w:p>
        </w:tc>
        <w:tc>
          <w:tcPr>
            <w:tcW w:w="1243" w:type="dxa"/>
            <w:tcBorders>
              <w:left w:val="single" w:color="auto" w:sz="4" w:space="0"/>
            </w:tcBorders>
            <w:vAlign w:val="center"/>
          </w:tcPr>
          <w:p>
            <w:pPr>
              <w:pStyle w:val="13"/>
              <w:spacing w:line="360" w:lineRule="exact"/>
              <w:rPr>
                <w:rFonts w:eastAsia="微软雅黑"/>
                <w:szCs w:val="21"/>
              </w:rPr>
            </w:pPr>
            <w:r>
              <w:rPr>
                <w:rFonts w:hint="eastAsia" w:eastAsia="微软雅黑"/>
                <w:szCs w:val="21"/>
              </w:rPr>
              <w:t>5.005</w:t>
            </w:r>
            <w:r>
              <w:rPr>
                <w:szCs w:val="21"/>
              </w:rPr>
              <w:t>mg</w:t>
            </w:r>
            <w:r>
              <w:rPr>
                <w:rFonts w:eastAsia="微软雅黑"/>
                <w:szCs w:val="21"/>
              </w:rPr>
              <w:t>/L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高锰酸盐指数</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水质  高锰酸盐指数的测定</w:t>
            </w:r>
          </w:p>
        </w:tc>
        <w:tc>
          <w:tcPr>
            <w:tcW w:w="2160"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GB/T 11892-1989</w:t>
            </w:r>
          </w:p>
        </w:tc>
        <w:tc>
          <w:tcPr>
            <w:tcW w:w="1224" w:type="dxa"/>
            <w:tcBorders>
              <w:right w:val="single" w:color="auto" w:sz="4" w:space="0"/>
            </w:tcBorders>
            <w:vAlign w:val="center"/>
          </w:tcPr>
          <w:p>
            <w:pPr>
              <w:spacing w:line="360" w:lineRule="exact"/>
              <w:ind w:firstLine="630" w:firstLineChars="300"/>
              <w:rPr>
                <w:rFonts w:ascii="Times New Roman" w:hAnsi="Times New Roman"/>
                <w:kern w:val="2"/>
                <w:sz w:val="21"/>
                <w:szCs w:val="21"/>
              </w:rPr>
            </w:pPr>
            <w:r>
              <w:rPr>
                <w:rFonts w:ascii="Times New Roman" w:hAnsi="Times New Roman"/>
                <w:kern w:val="2"/>
                <w:sz w:val="21"/>
                <w:szCs w:val="21"/>
              </w:rPr>
              <w:t>/</w:t>
            </w:r>
          </w:p>
        </w:tc>
        <w:tc>
          <w:tcPr>
            <w:tcW w:w="1243" w:type="dxa"/>
            <w:tcBorders>
              <w:left w:val="single" w:color="auto" w:sz="4" w:space="0"/>
            </w:tcBorders>
            <w:vAlign w:val="center"/>
          </w:tcPr>
          <w:p>
            <w:pPr>
              <w:pStyle w:val="13"/>
              <w:spacing w:line="360" w:lineRule="exact"/>
              <w:rPr>
                <w:rFonts w:eastAsia="微软雅黑"/>
                <w:szCs w:val="21"/>
              </w:rPr>
            </w:pPr>
            <w:r>
              <w:rPr>
                <w:rFonts w:eastAsia="微软雅黑"/>
                <w:szCs w:val="21"/>
              </w:rPr>
              <w:t>0.5 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石油类</w:t>
            </w:r>
          </w:p>
        </w:tc>
        <w:tc>
          <w:tcPr>
            <w:tcW w:w="2087"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水质 石油类和动植物油类的测定 红外分光光度法</w:t>
            </w:r>
          </w:p>
        </w:tc>
        <w:tc>
          <w:tcPr>
            <w:tcW w:w="2160" w:type="dxa"/>
            <w:vAlign w:val="center"/>
          </w:tcPr>
          <w:p>
            <w:pPr>
              <w:spacing w:line="360" w:lineRule="exact"/>
              <w:ind w:firstLine="420"/>
              <w:rPr>
                <w:rFonts w:ascii="Times New Roman" w:hAnsi="Times New Roman"/>
                <w:kern w:val="2"/>
                <w:sz w:val="21"/>
                <w:szCs w:val="21"/>
              </w:rPr>
            </w:pPr>
            <w:r>
              <w:rPr>
                <w:rFonts w:ascii="Times New Roman" w:hAnsi="Times New Roman"/>
                <w:kern w:val="2"/>
                <w:sz w:val="21"/>
                <w:szCs w:val="21"/>
              </w:rPr>
              <w:t>HJ 637-2012</w:t>
            </w:r>
          </w:p>
        </w:tc>
        <w:tc>
          <w:tcPr>
            <w:tcW w:w="1224" w:type="dxa"/>
            <w:tcBorders>
              <w:right w:val="single" w:color="auto" w:sz="4"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JLBG-126红外分光测油仪</w:t>
            </w:r>
          </w:p>
        </w:tc>
        <w:tc>
          <w:tcPr>
            <w:tcW w:w="1243" w:type="dxa"/>
            <w:tcBorders>
              <w:left w:val="single" w:color="auto" w:sz="4" w:space="0"/>
            </w:tcBorders>
            <w:vAlign w:val="center"/>
          </w:tcPr>
          <w:p>
            <w:pPr>
              <w:pStyle w:val="13"/>
              <w:spacing w:line="360" w:lineRule="exact"/>
              <w:rPr>
                <w:rFonts w:eastAsia="微软雅黑"/>
                <w:szCs w:val="21"/>
              </w:rPr>
            </w:pPr>
            <w:r>
              <w:rPr>
                <w:rFonts w:eastAsia="微软雅黑"/>
                <w:szCs w:val="21"/>
              </w:rPr>
              <w:t>0.01 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1070"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溶解性总固体</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重量法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《水和废水监测分析方法》(第四版增补版）</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电子分析天平BSA224S</w:t>
            </w:r>
          </w:p>
        </w:tc>
        <w:tc>
          <w:tcPr>
            <w:tcW w:w="1243" w:type="dxa"/>
            <w:tcBorders>
              <w:lef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sz w:val="24"/>
              </w:rPr>
              <w:t>/</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氨氮</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水质  氨氮的测定 纳氏试剂分光光度法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HJ 535-2009</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TU-1901紫外可见分光光度计</w:t>
            </w:r>
          </w:p>
        </w:tc>
        <w:tc>
          <w:tcPr>
            <w:tcW w:w="1243" w:type="dxa"/>
            <w:tcBorders>
              <w:left w:val="single" w:color="auto" w:sz="4" w:space="0"/>
            </w:tcBorders>
            <w:vAlign w:val="center"/>
          </w:tcPr>
          <w:p>
            <w:pPr>
              <w:pStyle w:val="13"/>
              <w:spacing w:line="360" w:lineRule="exact"/>
              <w:rPr>
                <w:rFonts w:eastAsia="微软雅黑"/>
                <w:szCs w:val="21"/>
              </w:rPr>
            </w:pPr>
            <w:r>
              <w:rPr>
                <w:rFonts w:eastAsia="微软雅黑"/>
                <w:szCs w:val="21"/>
              </w:rPr>
              <w:t>0.025 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硝酸盐氮</w:t>
            </w:r>
          </w:p>
        </w:tc>
        <w:tc>
          <w:tcPr>
            <w:tcW w:w="2087" w:type="dxa"/>
            <w:shd w:val="clear" w:color="auto" w:fill="FFFFFF"/>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紫外分光光度法</w:t>
            </w:r>
          </w:p>
        </w:tc>
        <w:tc>
          <w:tcPr>
            <w:tcW w:w="2160"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生活饮用水标准检验方法 无机非金属指标GB/T 5750.5-2006</w:t>
            </w:r>
          </w:p>
        </w:tc>
        <w:tc>
          <w:tcPr>
            <w:tcW w:w="1224" w:type="dxa"/>
            <w:tcBorders>
              <w:right w:val="single" w:color="auto" w:sz="4"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ICS-900离子色谱仪</w:t>
            </w:r>
          </w:p>
        </w:tc>
        <w:tc>
          <w:tcPr>
            <w:tcW w:w="1243" w:type="dxa"/>
            <w:tcBorders>
              <w:left w:val="single" w:color="auto" w:sz="4" w:space="0"/>
            </w:tcBorders>
            <w:vAlign w:val="center"/>
          </w:tcPr>
          <w:p>
            <w:pPr>
              <w:pStyle w:val="13"/>
              <w:spacing w:line="360" w:lineRule="exact"/>
              <w:rPr>
                <w:rFonts w:eastAsia="微软雅黑"/>
                <w:szCs w:val="21"/>
              </w:rPr>
            </w:pPr>
            <w:r>
              <w:rPr>
                <w:rFonts w:eastAsia="微软雅黑"/>
                <w:szCs w:val="21"/>
              </w:rPr>
              <w:t>0.2 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亚硝酸盐</w:t>
            </w:r>
            <w:r>
              <w:rPr>
                <w:rFonts w:ascii="Times New Roman" w:hAnsi="Times New Roman"/>
                <w:szCs w:val="21"/>
              </w:rPr>
              <w:t>氮</w:t>
            </w:r>
          </w:p>
        </w:tc>
        <w:tc>
          <w:tcPr>
            <w:tcW w:w="2087" w:type="dxa"/>
            <w:shd w:val="clear" w:color="auto" w:fill="FFFFFF"/>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重氮偶合分光光度法</w:t>
            </w:r>
          </w:p>
        </w:tc>
        <w:tc>
          <w:tcPr>
            <w:tcW w:w="2160"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生活饮用水标准检验方法 无机非金属指标GB/T 5750.5-2006</w:t>
            </w:r>
          </w:p>
        </w:tc>
        <w:tc>
          <w:tcPr>
            <w:tcW w:w="1224" w:type="dxa"/>
            <w:tcBorders>
              <w:right w:val="single" w:color="auto" w:sz="4"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ICS-900离子色谱仪</w:t>
            </w:r>
          </w:p>
        </w:tc>
        <w:tc>
          <w:tcPr>
            <w:tcW w:w="1243" w:type="dxa"/>
            <w:tcBorders>
              <w:left w:val="single" w:color="auto" w:sz="4" w:space="0"/>
            </w:tcBorders>
            <w:vAlign w:val="center"/>
          </w:tcPr>
          <w:p>
            <w:pPr>
              <w:pStyle w:val="13"/>
              <w:spacing w:line="360" w:lineRule="exact"/>
              <w:rPr>
                <w:rFonts w:eastAsia="微软雅黑"/>
                <w:szCs w:val="21"/>
              </w:rPr>
            </w:pPr>
            <w:r>
              <w:rPr>
                <w:rFonts w:eastAsia="微软雅黑"/>
                <w:szCs w:val="21"/>
              </w:rPr>
              <w:t>0.001mg/L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1170"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bCs/>
                <w:color w:val="auto"/>
                <w:szCs w:val="21"/>
              </w:rPr>
              <w:t>硫化物</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水质 硫化物的测定 亚甲基蓝分光光度法</w:t>
            </w:r>
          </w:p>
        </w:tc>
        <w:tc>
          <w:tcPr>
            <w:tcW w:w="2160"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GB/T 16489-1996</w:t>
            </w:r>
          </w:p>
        </w:tc>
        <w:tc>
          <w:tcPr>
            <w:tcW w:w="1224" w:type="dxa"/>
            <w:tcBorders>
              <w:right w:val="single" w:color="auto" w:sz="4" w:space="0"/>
            </w:tcBorders>
            <w:vAlign w:val="center"/>
          </w:tcPr>
          <w:p>
            <w:pPr>
              <w:pStyle w:val="13"/>
              <w:spacing w:line="360" w:lineRule="exact"/>
              <w:rPr>
                <w:color w:val="auto"/>
                <w:szCs w:val="21"/>
              </w:rPr>
            </w:pPr>
            <w:r>
              <w:rPr>
                <w:color w:val="auto"/>
                <w:szCs w:val="21"/>
              </w:rPr>
              <w:t>TU-1901紫外可见分光光度计</w:t>
            </w:r>
          </w:p>
        </w:tc>
        <w:tc>
          <w:tcPr>
            <w:tcW w:w="1243" w:type="dxa"/>
            <w:tcBorders>
              <w:left w:val="single" w:color="auto" w:sz="4" w:space="0"/>
            </w:tcBorders>
            <w:vAlign w:val="center"/>
          </w:tcPr>
          <w:p>
            <w:pPr>
              <w:pStyle w:val="13"/>
              <w:spacing w:line="360" w:lineRule="exact"/>
              <w:rPr>
                <w:rFonts w:eastAsia="微软雅黑"/>
                <w:szCs w:val="21"/>
              </w:rPr>
            </w:pPr>
            <w:r>
              <w:rPr>
                <w:rFonts w:eastAsia="微软雅黑"/>
                <w:szCs w:val="21"/>
              </w:rPr>
              <w:t>0.005mg/L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1170"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pStyle w:val="15"/>
              <w:overflowPunct w:val="0"/>
              <w:topLinePunct/>
              <w:spacing w:line="360" w:lineRule="exact"/>
              <w:rPr>
                <w:rFonts w:ascii="Times New Roman" w:hAnsi="Times New Roman" w:eastAsia="宋体"/>
                <w:bCs/>
                <w:color w:val="auto"/>
                <w:szCs w:val="21"/>
              </w:rPr>
            </w:pPr>
            <w:r>
              <w:rPr>
                <w:rFonts w:ascii="Times New Roman" w:hAnsi="Times New Roman" w:eastAsia="宋体"/>
                <w:bCs/>
                <w:color w:val="auto"/>
                <w:szCs w:val="21"/>
              </w:rPr>
              <w:t>总大肠菌群</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 xml:space="preserve">生活饮用水标准检验方法 微生物指标   多管发酵法 </w:t>
            </w:r>
          </w:p>
        </w:tc>
        <w:tc>
          <w:tcPr>
            <w:tcW w:w="2160"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GB/T 5750.12-2006</w:t>
            </w:r>
          </w:p>
        </w:tc>
        <w:tc>
          <w:tcPr>
            <w:tcW w:w="1224" w:type="dxa"/>
            <w:tcBorders>
              <w:right w:val="single" w:color="auto" w:sz="4" w:space="0"/>
            </w:tcBorders>
            <w:vAlign w:val="center"/>
          </w:tcPr>
          <w:p>
            <w:pPr>
              <w:pStyle w:val="13"/>
              <w:spacing w:line="360" w:lineRule="exact"/>
              <w:rPr>
                <w:color w:val="auto"/>
                <w:szCs w:val="21"/>
              </w:rPr>
            </w:pPr>
            <w:r>
              <w:rPr>
                <w:color w:val="auto"/>
                <w:szCs w:val="21"/>
              </w:rPr>
              <w:t xml:space="preserve"> 恒温培养箱DHP-9052</w:t>
            </w:r>
          </w:p>
        </w:tc>
        <w:tc>
          <w:tcPr>
            <w:tcW w:w="1243" w:type="dxa"/>
            <w:tcBorders>
              <w:left w:val="single" w:color="auto" w:sz="4" w:space="0"/>
            </w:tcBorders>
            <w:vAlign w:val="center"/>
          </w:tcPr>
          <w:p>
            <w:pPr>
              <w:pStyle w:val="13"/>
              <w:spacing w:line="360" w:lineRule="exact"/>
              <w:rPr>
                <w:szCs w:val="21"/>
              </w:rPr>
            </w:pPr>
            <w:r>
              <w:rPr>
                <w:szCs w:val="21"/>
              </w:rPr>
              <w:t>/</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挥发酚</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bCs/>
                <w:kern w:val="2"/>
                <w:sz w:val="21"/>
                <w:szCs w:val="21"/>
              </w:rPr>
              <w:t>水质 挥发酚的测定 4-氨基安替吡啉分光光度法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HJ 503-2009</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TU-1901紫外可见分光光度计</w:t>
            </w:r>
          </w:p>
        </w:tc>
        <w:tc>
          <w:tcPr>
            <w:tcW w:w="1243" w:type="dxa"/>
            <w:tcBorders>
              <w:lef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szCs w:val="21"/>
              </w:rPr>
              <w:t>0.01 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shd w:val="clear" w:color="auto" w:fill="FFFFFF"/>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COD</w:t>
            </w:r>
          </w:p>
        </w:tc>
        <w:tc>
          <w:tcPr>
            <w:tcW w:w="2087"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水质 化学需氧量的测定 重铬酸盐法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HJ 828-2017</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w:t>
            </w:r>
          </w:p>
        </w:tc>
        <w:tc>
          <w:tcPr>
            <w:tcW w:w="1243" w:type="dxa"/>
            <w:tcBorders>
              <w:lef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szCs w:val="21"/>
              </w:rPr>
              <w:t>4mg/L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shd w:val="clear" w:color="auto" w:fill="auto"/>
            <w:vAlign w:val="center"/>
          </w:tcPr>
          <w:p>
            <w:pPr>
              <w:spacing w:line="360" w:lineRule="exact"/>
              <w:ind w:firstLine="210" w:firstLineChars="100"/>
              <w:rPr>
                <w:rFonts w:ascii="Times New Roman" w:hAnsi="Times New Roman"/>
                <w:kern w:val="2"/>
                <w:sz w:val="21"/>
                <w:szCs w:val="21"/>
              </w:rPr>
            </w:pPr>
            <w:r>
              <w:rPr>
                <w:rFonts w:ascii="Times New Roman" w:hAnsi="Times New Roman"/>
                <w:kern w:val="2"/>
                <w:sz w:val="21"/>
                <w:szCs w:val="21"/>
              </w:rPr>
              <w:t>氯化物</w:t>
            </w:r>
          </w:p>
        </w:tc>
        <w:tc>
          <w:tcPr>
            <w:tcW w:w="2087" w:type="dxa"/>
            <w:shd w:val="clear" w:color="auto" w:fill="FFFFFF"/>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水质 氯化物的测定 硝酸银滴定法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GB/T 11896-89</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w:t>
            </w:r>
          </w:p>
        </w:tc>
        <w:tc>
          <w:tcPr>
            <w:tcW w:w="1243" w:type="dxa"/>
            <w:tcBorders>
              <w:lef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10mg/L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vAlign w:val="center"/>
          </w:tcPr>
          <w:p>
            <w:pPr>
              <w:pStyle w:val="13"/>
              <w:numPr>
                <w:ilvl w:val="0"/>
                <w:numId w:val="4"/>
              </w:numPr>
              <w:spacing w:line="360" w:lineRule="exact"/>
              <w:rPr>
                <w:color w:val="auto"/>
                <w:szCs w:val="21"/>
              </w:rPr>
            </w:pPr>
          </w:p>
        </w:tc>
        <w:tc>
          <w:tcPr>
            <w:tcW w:w="1149" w:type="dxa"/>
            <w:shd w:val="clear" w:color="auto" w:fill="FFFFFF"/>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悬浮物</w:t>
            </w:r>
          </w:p>
        </w:tc>
        <w:tc>
          <w:tcPr>
            <w:tcW w:w="2087"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水质  悬浮物的测定 重量法</w:t>
            </w:r>
          </w:p>
        </w:tc>
        <w:tc>
          <w:tcPr>
            <w:tcW w:w="2160" w:type="dxa"/>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GB/T 11901-1989</w:t>
            </w:r>
          </w:p>
        </w:tc>
        <w:tc>
          <w:tcPr>
            <w:tcW w:w="1224" w:type="dxa"/>
            <w:tcBorders>
              <w:righ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电子分析天平BSA224S</w:t>
            </w:r>
          </w:p>
        </w:tc>
        <w:tc>
          <w:tcPr>
            <w:tcW w:w="1243" w:type="dxa"/>
            <w:tcBorders>
              <w:left w:val="single" w:color="auto" w:sz="4" w:space="0"/>
            </w:tcBorders>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tcBorders>
              <w:bottom w:val="single" w:color="000000" w:sz="6" w:space="0"/>
            </w:tcBorders>
            <w:vAlign w:val="center"/>
          </w:tcPr>
          <w:p>
            <w:pPr>
              <w:pStyle w:val="13"/>
              <w:numPr>
                <w:ilvl w:val="0"/>
                <w:numId w:val="4"/>
              </w:numPr>
              <w:spacing w:line="360" w:lineRule="exact"/>
              <w:rPr>
                <w:color w:val="auto"/>
                <w:szCs w:val="21"/>
              </w:rPr>
            </w:pPr>
          </w:p>
        </w:tc>
        <w:tc>
          <w:tcPr>
            <w:tcW w:w="1149" w:type="dxa"/>
            <w:tcBorders>
              <w:bottom w:val="single" w:color="000000" w:sz="6" w:space="0"/>
            </w:tcBorders>
            <w:shd w:val="clear" w:color="auto" w:fill="FFFFFF"/>
            <w:vAlign w:val="center"/>
          </w:tcPr>
          <w:p>
            <w:pPr>
              <w:pStyle w:val="15"/>
              <w:overflowPunct w:val="0"/>
              <w:topLinePunct/>
              <w:spacing w:line="360" w:lineRule="exact"/>
              <w:rPr>
                <w:rFonts w:ascii="Times New Roman" w:hAnsi="Times New Roman" w:eastAsia="宋体"/>
                <w:color w:val="auto"/>
                <w:szCs w:val="21"/>
              </w:rPr>
            </w:pPr>
            <w:r>
              <w:rPr>
                <w:rFonts w:ascii="Times New Roman" w:hAnsi="Times New Roman" w:eastAsia="宋体"/>
                <w:color w:val="auto"/>
                <w:szCs w:val="21"/>
              </w:rPr>
              <w:t>BOD</w:t>
            </w:r>
            <w:r>
              <w:rPr>
                <w:rFonts w:ascii="Times New Roman" w:hAnsi="Times New Roman" w:eastAsia="宋体"/>
                <w:color w:val="auto"/>
                <w:szCs w:val="21"/>
                <w:vertAlign w:val="subscript"/>
              </w:rPr>
              <w:t>5</w:t>
            </w:r>
          </w:p>
        </w:tc>
        <w:tc>
          <w:tcPr>
            <w:tcW w:w="2087" w:type="dxa"/>
            <w:tcBorders>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水质 五日生化需氧量的测定 稀释与接种法</w:t>
            </w:r>
          </w:p>
        </w:tc>
        <w:tc>
          <w:tcPr>
            <w:tcW w:w="2160" w:type="dxa"/>
            <w:tcBorders>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HJ 505-2009</w:t>
            </w:r>
          </w:p>
        </w:tc>
        <w:tc>
          <w:tcPr>
            <w:tcW w:w="1224" w:type="dxa"/>
            <w:tcBorders>
              <w:bottom w:val="single" w:color="000000" w:sz="6" w:space="0"/>
              <w:right w:val="single" w:color="auto" w:sz="4" w:space="0"/>
            </w:tcBorders>
            <w:vAlign w:val="center"/>
          </w:tcPr>
          <w:p>
            <w:pPr>
              <w:pStyle w:val="13"/>
              <w:spacing w:line="360" w:lineRule="exact"/>
              <w:rPr>
                <w:color w:val="auto"/>
                <w:szCs w:val="21"/>
              </w:rPr>
            </w:pPr>
            <w:r>
              <w:rPr>
                <w:szCs w:val="21"/>
              </w:rPr>
              <w:t>生化培养箱LRH-150</w:t>
            </w:r>
          </w:p>
        </w:tc>
        <w:tc>
          <w:tcPr>
            <w:tcW w:w="1243" w:type="dxa"/>
            <w:tcBorders>
              <w:left w:val="single" w:color="auto" w:sz="4" w:space="0"/>
              <w:bottom w:val="single" w:color="000000" w:sz="6" w:space="0"/>
            </w:tcBorders>
            <w:vAlign w:val="center"/>
          </w:tcPr>
          <w:p>
            <w:pPr>
              <w:pStyle w:val="13"/>
              <w:spacing w:line="360" w:lineRule="exact"/>
              <w:rPr>
                <w:color w:val="auto"/>
                <w:szCs w:val="21"/>
              </w:rPr>
            </w:pPr>
            <w:r>
              <w:rPr>
                <w:szCs w:val="21"/>
              </w:rPr>
              <w:t>0.5 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tcBorders>
              <w:top w:val="single" w:color="000000" w:sz="6" w:space="0"/>
              <w:bottom w:val="single" w:color="000000" w:sz="6" w:space="0"/>
            </w:tcBorders>
            <w:vAlign w:val="center"/>
          </w:tcPr>
          <w:p>
            <w:pPr>
              <w:pStyle w:val="13"/>
              <w:numPr>
                <w:ilvl w:val="0"/>
                <w:numId w:val="4"/>
              </w:numPr>
              <w:spacing w:line="360" w:lineRule="exact"/>
              <w:rPr>
                <w:color w:val="auto"/>
                <w:szCs w:val="21"/>
              </w:rPr>
            </w:pPr>
          </w:p>
        </w:tc>
        <w:tc>
          <w:tcPr>
            <w:tcW w:w="1149" w:type="dxa"/>
            <w:tcBorders>
              <w:top w:val="single" w:color="000000" w:sz="6" w:space="0"/>
              <w:bottom w:val="single" w:color="000000" w:sz="6" w:space="0"/>
            </w:tcBorders>
            <w:shd w:val="clear" w:color="auto" w:fill="FFFFFF"/>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色度</w:t>
            </w:r>
          </w:p>
        </w:tc>
        <w:tc>
          <w:tcPr>
            <w:tcW w:w="2087"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铂钴标准比色法</w:t>
            </w:r>
          </w:p>
        </w:tc>
        <w:tc>
          <w:tcPr>
            <w:tcW w:w="2160"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GB 11903-89</w:t>
            </w:r>
          </w:p>
        </w:tc>
        <w:tc>
          <w:tcPr>
            <w:tcW w:w="1224" w:type="dxa"/>
            <w:tcBorders>
              <w:top w:val="single" w:color="000000" w:sz="6" w:space="0"/>
              <w:bottom w:val="single" w:color="000000" w:sz="6" w:space="0"/>
            </w:tcBorders>
            <w:vAlign w:val="center"/>
          </w:tcPr>
          <w:p>
            <w:pPr>
              <w:pStyle w:val="13"/>
              <w:spacing w:line="360" w:lineRule="exact"/>
              <w:rPr>
                <w:color w:val="auto"/>
                <w:szCs w:val="21"/>
              </w:rPr>
            </w:pPr>
            <w:r>
              <w:rPr>
                <w:color w:val="auto"/>
                <w:szCs w:val="21"/>
              </w:rPr>
              <w:t>/</w:t>
            </w:r>
          </w:p>
        </w:tc>
        <w:tc>
          <w:tcPr>
            <w:tcW w:w="1243" w:type="dxa"/>
            <w:tcBorders>
              <w:top w:val="single" w:color="000000" w:sz="6" w:space="0"/>
              <w:bottom w:val="single" w:color="000000" w:sz="6" w:space="0"/>
            </w:tcBorders>
            <w:vAlign w:val="center"/>
          </w:tcPr>
          <w:p>
            <w:pPr>
              <w:pStyle w:val="13"/>
              <w:spacing w:line="360" w:lineRule="exact"/>
              <w:rPr>
                <w:color w:val="auto"/>
                <w:szCs w:val="21"/>
              </w:rPr>
            </w:pPr>
            <w:r>
              <w:rPr>
                <w:color w:val="auto"/>
                <w:szCs w:val="21"/>
              </w:rPr>
              <w:t>/</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tcBorders>
              <w:top w:val="single" w:color="000000" w:sz="6" w:space="0"/>
              <w:bottom w:val="single" w:color="000000" w:sz="6" w:space="0"/>
            </w:tcBorders>
            <w:vAlign w:val="center"/>
          </w:tcPr>
          <w:p>
            <w:pPr>
              <w:pStyle w:val="13"/>
              <w:numPr>
                <w:ilvl w:val="0"/>
                <w:numId w:val="4"/>
              </w:numPr>
              <w:spacing w:line="360" w:lineRule="exact"/>
              <w:rPr>
                <w:color w:val="auto"/>
                <w:szCs w:val="21"/>
              </w:rPr>
            </w:pPr>
          </w:p>
        </w:tc>
        <w:tc>
          <w:tcPr>
            <w:tcW w:w="1149" w:type="dxa"/>
            <w:tcBorders>
              <w:top w:val="single" w:color="000000" w:sz="6" w:space="0"/>
              <w:bottom w:val="single" w:color="000000" w:sz="6" w:space="0"/>
            </w:tcBorders>
            <w:shd w:val="clear" w:color="auto" w:fill="FFFFFF"/>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臭和味</w:t>
            </w:r>
          </w:p>
        </w:tc>
        <w:tc>
          <w:tcPr>
            <w:tcW w:w="2087"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文字描述法</w:t>
            </w:r>
          </w:p>
        </w:tc>
        <w:tc>
          <w:tcPr>
            <w:tcW w:w="2160"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GB/T5750.4-2006</w:t>
            </w:r>
          </w:p>
        </w:tc>
        <w:tc>
          <w:tcPr>
            <w:tcW w:w="1224" w:type="dxa"/>
            <w:tcBorders>
              <w:top w:val="single" w:color="000000" w:sz="6" w:space="0"/>
              <w:bottom w:val="single" w:color="000000" w:sz="6" w:space="0"/>
            </w:tcBorders>
            <w:vAlign w:val="center"/>
          </w:tcPr>
          <w:p>
            <w:pPr>
              <w:pStyle w:val="13"/>
              <w:spacing w:line="360" w:lineRule="exact"/>
              <w:rPr>
                <w:color w:val="auto"/>
                <w:szCs w:val="21"/>
              </w:rPr>
            </w:pPr>
            <w:r>
              <w:rPr>
                <w:color w:val="auto"/>
                <w:szCs w:val="21"/>
              </w:rPr>
              <w:t>/</w:t>
            </w:r>
          </w:p>
        </w:tc>
        <w:tc>
          <w:tcPr>
            <w:tcW w:w="1243" w:type="dxa"/>
            <w:tcBorders>
              <w:top w:val="single" w:color="000000" w:sz="6" w:space="0"/>
              <w:bottom w:val="single" w:color="000000" w:sz="6" w:space="0"/>
            </w:tcBorders>
            <w:vAlign w:val="center"/>
          </w:tcPr>
          <w:p>
            <w:pPr>
              <w:pStyle w:val="13"/>
              <w:spacing w:line="360" w:lineRule="exact"/>
              <w:rPr>
                <w:color w:val="auto"/>
                <w:szCs w:val="21"/>
              </w:rPr>
            </w:pPr>
            <w:r>
              <w:rPr>
                <w:color w:val="auto"/>
                <w:szCs w:val="21"/>
              </w:rPr>
              <w:t>/</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tcBorders>
              <w:top w:val="single" w:color="000000" w:sz="6" w:space="0"/>
              <w:bottom w:val="single" w:color="000000" w:sz="6" w:space="0"/>
            </w:tcBorders>
            <w:vAlign w:val="center"/>
          </w:tcPr>
          <w:p>
            <w:pPr>
              <w:pStyle w:val="13"/>
              <w:numPr>
                <w:ilvl w:val="0"/>
                <w:numId w:val="4"/>
              </w:numPr>
              <w:spacing w:line="360" w:lineRule="exact"/>
              <w:rPr>
                <w:color w:val="auto"/>
                <w:szCs w:val="21"/>
              </w:rPr>
            </w:pPr>
          </w:p>
        </w:tc>
        <w:tc>
          <w:tcPr>
            <w:tcW w:w="1149" w:type="dxa"/>
            <w:tcBorders>
              <w:top w:val="single" w:color="000000" w:sz="6" w:space="0"/>
              <w:bottom w:val="single" w:color="000000" w:sz="6" w:space="0"/>
            </w:tcBorders>
            <w:shd w:val="clear" w:color="auto" w:fill="FFFFFF"/>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总氰化物</w:t>
            </w:r>
          </w:p>
        </w:tc>
        <w:tc>
          <w:tcPr>
            <w:tcW w:w="2087" w:type="dxa"/>
            <w:tcBorders>
              <w:top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水质 氰化物的测定 容量法和分光光度法</w:t>
            </w:r>
          </w:p>
        </w:tc>
        <w:tc>
          <w:tcPr>
            <w:tcW w:w="2160"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HJ 484-2009</w:t>
            </w:r>
          </w:p>
        </w:tc>
        <w:tc>
          <w:tcPr>
            <w:tcW w:w="1224"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TU-1901紫外可见分光光度计</w:t>
            </w:r>
          </w:p>
        </w:tc>
        <w:tc>
          <w:tcPr>
            <w:tcW w:w="1243"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0.001mg/L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tcBorders>
              <w:top w:val="single" w:color="000000" w:sz="6" w:space="0"/>
              <w:bottom w:val="single" w:color="000000" w:sz="6" w:space="0"/>
            </w:tcBorders>
            <w:vAlign w:val="center"/>
          </w:tcPr>
          <w:p>
            <w:pPr>
              <w:pStyle w:val="13"/>
              <w:numPr>
                <w:ilvl w:val="0"/>
                <w:numId w:val="4"/>
              </w:numPr>
              <w:spacing w:line="360" w:lineRule="exact"/>
              <w:rPr>
                <w:color w:val="auto"/>
                <w:szCs w:val="21"/>
              </w:rPr>
            </w:pPr>
          </w:p>
        </w:tc>
        <w:tc>
          <w:tcPr>
            <w:tcW w:w="1149" w:type="dxa"/>
            <w:tcBorders>
              <w:top w:val="single" w:color="000000" w:sz="6" w:space="0"/>
              <w:bottom w:val="single" w:color="000000" w:sz="6" w:space="0"/>
            </w:tcBorders>
            <w:shd w:val="clear" w:color="auto" w:fill="FFFFFF"/>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苯系物</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 xml:space="preserve">水质  苯系物的测定　气相色谱法 </w:t>
            </w:r>
          </w:p>
        </w:tc>
        <w:tc>
          <w:tcPr>
            <w:tcW w:w="2160"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 xml:space="preserve"> GB 11890-89</w:t>
            </w:r>
          </w:p>
        </w:tc>
        <w:tc>
          <w:tcPr>
            <w:tcW w:w="1224"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气相色谱仪</w:t>
            </w:r>
            <w:r>
              <w:rPr>
                <w:rFonts w:ascii="Times New Roman" w:hAnsi="Times New Roman"/>
                <w:kern w:val="2"/>
                <w:sz w:val="21"/>
                <w:szCs w:val="21"/>
              </w:rPr>
              <w:cr/>
            </w:r>
            <w:r>
              <w:rPr>
                <w:rFonts w:ascii="Times New Roman" w:hAnsi="Times New Roman"/>
                <w:kern w:val="2"/>
                <w:sz w:val="21"/>
                <w:szCs w:val="21"/>
              </w:rPr>
              <w:t>Trace GC Ultra</w:t>
            </w:r>
          </w:p>
        </w:tc>
        <w:tc>
          <w:tcPr>
            <w:tcW w:w="1243"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0.05mg/L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tcBorders>
              <w:top w:val="single" w:color="000000" w:sz="6" w:space="0"/>
              <w:bottom w:val="single" w:color="000000" w:sz="6" w:space="0"/>
            </w:tcBorders>
            <w:vAlign w:val="center"/>
          </w:tcPr>
          <w:p>
            <w:pPr>
              <w:pStyle w:val="13"/>
              <w:numPr>
                <w:ilvl w:val="0"/>
                <w:numId w:val="4"/>
              </w:numPr>
              <w:spacing w:line="360" w:lineRule="exact"/>
              <w:rPr>
                <w:color w:val="auto"/>
                <w:szCs w:val="21"/>
              </w:rPr>
            </w:pPr>
          </w:p>
        </w:tc>
        <w:tc>
          <w:tcPr>
            <w:tcW w:w="1149" w:type="dxa"/>
            <w:tcBorders>
              <w:top w:val="single" w:color="000000" w:sz="6" w:space="0"/>
              <w:bottom w:val="single" w:color="000000" w:sz="6" w:space="0"/>
            </w:tcBorders>
            <w:shd w:val="clear" w:color="auto" w:fill="FFFFFF"/>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动植物油</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水质 石油类和动植物油类的测定 红外分光光度法</w:t>
            </w:r>
          </w:p>
        </w:tc>
        <w:tc>
          <w:tcPr>
            <w:tcW w:w="2160"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HJ637-2012</w:t>
            </w:r>
          </w:p>
        </w:tc>
        <w:tc>
          <w:tcPr>
            <w:tcW w:w="1224"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红外分光光度计TJ270-30(A)型</w:t>
            </w:r>
          </w:p>
        </w:tc>
        <w:tc>
          <w:tcPr>
            <w:tcW w:w="1243"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0.01mg/L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611" w:type="dxa"/>
            <w:tcBorders>
              <w:top w:val="single" w:color="000000" w:sz="6" w:space="0"/>
              <w:bottom w:val="single" w:color="000000" w:sz="6" w:space="0"/>
            </w:tcBorders>
            <w:vAlign w:val="center"/>
          </w:tcPr>
          <w:p>
            <w:pPr>
              <w:pStyle w:val="13"/>
              <w:numPr>
                <w:ilvl w:val="0"/>
                <w:numId w:val="4"/>
              </w:numPr>
              <w:spacing w:line="360" w:lineRule="exact"/>
              <w:rPr>
                <w:color w:val="auto"/>
                <w:szCs w:val="21"/>
              </w:rPr>
            </w:pPr>
          </w:p>
        </w:tc>
        <w:tc>
          <w:tcPr>
            <w:tcW w:w="1149" w:type="dxa"/>
            <w:tcBorders>
              <w:top w:val="single" w:color="000000" w:sz="6" w:space="0"/>
              <w:bottom w:val="single" w:color="000000" w:sz="6" w:space="0"/>
            </w:tcBorders>
            <w:shd w:val="clear" w:color="auto" w:fill="FFFFFF"/>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阴离子表面活性剂</w:t>
            </w:r>
          </w:p>
        </w:tc>
        <w:tc>
          <w:tcPr>
            <w:tcW w:w="2087" w:type="dxa"/>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水质 阴离子表面活性剂的测定  亚甲蓝分光光度法</w:t>
            </w:r>
          </w:p>
        </w:tc>
        <w:tc>
          <w:tcPr>
            <w:tcW w:w="2160"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GB7494-87</w:t>
            </w:r>
          </w:p>
        </w:tc>
        <w:tc>
          <w:tcPr>
            <w:tcW w:w="1224"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TU-1901紫外可见分光光度计</w:t>
            </w:r>
          </w:p>
        </w:tc>
        <w:tc>
          <w:tcPr>
            <w:tcW w:w="1243" w:type="dxa"/>
            <w:tcBorders>
              <w:top w:val="single" w:color="000000" w:sz="6" w:space="0"/>
              <w:bottom w:val="single" w:color="000000" w:sz="6"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0.05mg/L</w:t>
            </w:r>
          </w:p>
        </w:tc>
      </w:tr>
      <w:tr>
        <w:tblPrEx>
          <w:tblBorders>
            <w:top w:val="double" w:color="000000" w:sz="4" w:space="0"/>
            <w:left w:val="none" w:color="auto" w:sz="0" w:space="0"/>
            <w:bottom w:val="double" w:color="000000" w:sz="4" w:space="0"/>
            <w:right w:val="none" w:color="auto" w:sz="0" w:space="0"/>
            <w:insideH w:val="single" w:color="000000" w:sz="6" w:space="0"/>
            <w:insideV w:val="single" w:color="000000" w:sz="6" w:space="0"/>
          </w:tblBorders>
          <w:tblCellMar>
            <w:top w:w="0" w:type="dxa"/>
            <w:left w:w="28" w:type="dxa"/>
            <w:bottom w:w="0" w:type="dxa"/>
            <w:right w:w="28" w:type="dxa"/>
          </w:tblCellMar>
        </w:tblPrEx>
        <w:trPr>
          <w:cantSplit/>
          <w:trHeight w:val="930" w:hRule="atLeast"/>
          <w:jc w:val="center"/>
        </w:trPr>
        <w:tc>
          <w:tcPr>
            <w:tcW w:w="611" w:type="dxa"/>
            <w:tcBorders>
              <w:top w:val="single" w:color="000000" w:sz="6" w:space="0"/>
              <w:bottom w:val="double" w:color="000000" w:sz="4" w:space="0"/>
            </w:tcBorders>
            <w:vAlign w:val="center"/>
          </w:tcPr>
          <w:p>
            <w:pPr>
              <w:pStyle w:val="13"/>
              <w:numPr>
                <w:ilvl w:val="0"/>
                <w:numId w:val="4"/>
              </w:numPr>
              <w:spacing w:line="360" w:lineRule="exact"/>
              <w:rPr>
                <w:color w:val="auto"/>
                <w:szCs w:val="21"/>
              </w:rPr>
            </w:pPr>
          </w:p>
        </w:tc>
        <w:tc>
          <w:tcPr>
            <w:tcW w:w="1149" w:type="dxa"/>
            <w:tcBorders>
              <w:top w:val="single" w:color="000000" w:sz="6" w:space="0"/>
              <w:bottom w:val="double" w:color="000000" w:sz="4" w:space="0"/>
            </w:tcBorders>
            <w:shd w:val="clear" w:color="auto" w:fill="FFFFFF"/>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总磷</w:t>
            </w:r>
          </w:p>
        </w:tc>
        <w:tc>
          <w:tcPr>
            <w:tcW w:w="2087" w:type="dxa"/>
            <w:tcBorders>
              <w:bottom w:val="double" w:color="000000" w:sz="4"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水质 总磷的测定 钼酸铵分光光度法</w:t>
            </w:r>
          </w:p>
        </w:tc>
        <w:tc>
          <w:tcPr>
            <w:tcW w:w="2160" w:type="dxa"/>
            <w:tcBorders>
              <w:top w:val="single" w:color="000000" w:sz="6" w:space="0"/>
              <w:bottom w:val="double" w:color="000000" w:sz="4"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 xml:space="preserve"> GB/T 11893-89</w:t>
            </w:r>
          </w:p>
        </w:tc>
        <w:tc>
          <w:tcPr>
            <w:tcW w:w="1224" w:type="dxa"/>
            <w:tcBorders>
              <w:top w:val="single" w:color="000000" w:sz="6" w:space="0"/>
              <w:bottom w:val="double" w:color="000000" w:sz="4"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TU-1901紫外可见分光光度计</w:t>
            </w:r>
          </w:p>
        </w:tc>
        <w:tc>
          <w:tcPr>
            <w:tcW w:w="1243" w:type="dxa"/>
            <w:tcBorders>
              <w:top w:val="single" w:color="000000" w:sz="6" w:space="0"/>
              <w:bottom w:val="double" w:color="000000" w:sz="4" w:space="0"/>
            </w:tcBorders>
            <w:vAlign w:val="center"/>
          </w:tcPr>
          <w:p>
            <w:pPr>
              <w:spacing w:line="360" w:lineRule="exact"/>
              <w:ind w:firstLine="0" w:firstLineChars="0"/>
              <w:jc w:val="center"/>
              <w:rPr>
                <w:rFonts w:ascii="Times New Roman" w:hAnsi="Times New Roman"/>
                <w:kern w:val="2"/>
                <w:sz w:val="21"/>
                <w:szCs w:val="21"/>
              </w:rPr>
            </w:pPr>
            <w:r>
              <w:rPr>
                <w:rFonts w:ascii="Times New Roman" w:hAnsi="Times New Roman"/>
                <w:kern w:val="2"/>
                <w:sz w:val="21"/>
                <w:szCs w:val="21"/>
              </w:rPr>
              <w:t>0.01mg/L</w:t>
            </w:r>
          </w:p>
        </w:tc>
      </w:tr>
    </w:tbl>
    <w:p>
      <w:pPr>
        <w:pStyle w:val="3"/>
      </w:pPr>
      <w:r>
        <w:t>8.2  噪声监测分析过程中的质量保证和质量控制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lang w:val="en-US" w:eastAsia="zh-CN"/>
        </w:rPr>
      </w:pPr>
      <w:r>
        <w:rPr>
          <w:rFonts w:hint="eastAsia"/>
          <w:sz w:val="24"/>
          <w:szCs w:val="24"/>
          <w:lang w:val="en-US" w:eastAsia="zh-CN"/>
        </w:rPr>
        <w:t>声级计在测试前后用标准发生源进行校准，测量前后仪器的灵敏度相差不大于0.5dB，若大于0.5dB测试数据无效，列表说明校验情况。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lang w:val="en-US" w:eastAsia="zh-CN"/>
        </w:rPr>
      </w:pPr>
      <w:r>
        <w:rPr>
          <w:rFonts w:hint="eastAsia"/>
          <w:sz w:val="24"/>
          <w:szCs w:val="24"/>
          <w:lang w:val="en-US" w:eastAsia="zh-CN"/>
        </w:rPr>
        <w:t>本次验收监测噪声仪器校准结果见表10。</w:t>
      </w:r>
    </w:p>
    <w:p>
      <w:pPr>
        <w:pStyle w:val="12"/>
        <w:spacing w:after="120" w:afterLines="50"/>
        <w:ind w:firstLine="0" w:firstLineChars="0"/>
      </w:pPr>
      <w:r>
        <w:t>表</w:t>
      </w:r>
      <w:r>
        <w:rPr>
          <w:rFonts w:hint="eastAsia"/>
          <w:lang w:val="en-US" w:eastAsia="zh-CN"/>
        </w:rPr>
        <w:t>10</w:t>
      </w:r>
      <w:r>
        <w:t xml:space="preserve">   噪声检测前后仪器校准结果一览表</w:t>
      </w:r>
    </w:p>
    <w:tbl>
      <w:tblPr>
        <w:tblStyle w:val="10"/>
        <w:tblW w:w="8522"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271"/>
        <w:gridCol w:w="939"/>
        <w:gridCol w:w="874"/>
        <w:gridCol w:w="1040"/>
        <w:gridCol w:w="2562"/>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836" w:type="dxa"/>
            <w:vMerge w:val="restart"/>
            <w:tcBorders>
              <w:top w:val="double" w:color="auto" w:sz="4" w:space="0"/>
            </w:tcBorders>
            <w:vAlign w:val="center"/>
          </w:tcPr>
          <w:p>
            <w:pPr>
              <w:pStyle w:val="13"/>
              <w:rPr>
                <w:b/>
                <w:color w:val="auto"/>
              </w:rPr>
            </w:pPr>
            <w:r>
              <w:rPr>
                <w:b/>
                <w:color w:val="auto"/>
              </w:rPr>
              <w:t>检测日期</w:t>
            </w:r>
          </w:p>
        </w:tc>
        <w:tc>
          <w:tcPr>
            <w:tcW w:w="1271" w:type="dxa"/>
            <w:vMerge w:val="restart"/>
            <w:tcBorders>
              <w:top w:val="double" w:color="auto" w:sz="4" w:space="0"/>
            </w:tcBorders>
            <w:vAlign w:val="center"/>
          </w:tcPr>
          <w:p>
            <w:pPr>
              <w:pStyle w:val="13"/>
              <w:rPr>
                <w:b/>
                <w:color w:val="auto"/>
              </w:rPr>
            </w:pPr>
            <w:r>
              <w:rPr>
                <w:b/>
                <w:color w:val="auto"/>
              </w:rPr>
              <w:t>标准声源值</w:t>
            </w:r>
          </w:p>
          <w:p>
            <w:pPr>
              <w:pStyle w:val="13"/>
              <w:rPr>
                <w:b/>
                <w:color w:val="auto"/>
              </w:rPr>
            </w:pPr>
            <w:r>
              <w:rPr>
                <w:b/>
                <w:color w:val="auto"/>
              </w:rPr>
              <w:t>[ dB（A）]</w:t>
            </w:r>
          </w:p>
        </w:tc>
        <w:tc>
          <w:tcPr>
            <w:tcW w:w="1813" w:type="dxa"/>
            <w:gridSpan w:val="2"/>
            <w:tcBorders>
              <w:top w:val="double" w:color="auto" w:sz="4" w:space="0"/>
            </w:tcBorders>
            <w:vAlign w:val="center"/>
          </w:tcPr>
          <w:p>
            <w:pPr>
              <w:pStyle w:val="13"/>
              <w:rPr>
                <w:b/>
                <w:color w:val="auto"/>
              </w:rPr>
            </w:pPr>
            <w:r>
              <w:rPr>
                <w:b/>
                <w:color w:val="auto"/>
              </w:rPr>
              <w:t>校准声级[ dB（A）]</w:t>
            </w:r>
          </w:p>
        </w:tc>
        <w:tc>
          <w:tcPr>
            <w:tcW w:w="1040" w:type="dxa"/>
            <w:vMerge w:val="restart"/>
            <w:tcBorders>
              <w:top w:val="double" w:color="auto" w:sz="4" w:space="0"/>
            </w:tcBorders>
            <w:vAlign w:val="center"/>
          </w:tcPr>
          <w:p>
            <w:pPr>
              <w:pStyle w:val="13"/>
              <w:rPr>
                <w:b/>
                <w:color w:val="auto"/>
              </w:rPr>
            </w:pPr>
            <w:r>
              <w:rPr>
                <w:b/>
                <w:color w:val="auto"/>
              </w:rPr>
              <w:t>相对误差（%）</w:t>
            </w:r>
          </w:p>
        </w:tc>
        <w:tc>
          <w:tcPr>
            <w:tcW w:w="2562" w:type="dxa"/>
            <w:vMerge w:val="restart"/>
            <w:tcBorders>
              <w:top w:val="double" w:color="auto" w:sz="4" w:space="0"/>
            </w:tcBorders>
            <w:vAlign w:val="center"/>
          </w:tcPr>
          <w:p>
            <w:pPr>
              <w:pStyle w:val="13"/>
              <w:rPr>
                <w:b/>
                <w:color w:val="auto"/>
              </w:rPr>
            </w:pPr>
            <w:r>
              <w:rPr>
                <w:b/>
                <w:color w:val="auto"/>
              </w:rPr>
              <w:t>备注</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36" w:type="dxa"/>
            <w:vMerge w:val="continue"/>
            <w:vAlign w:val="center"/>
          </w:tcPr>
          <w:p>
            <w:pPr>
              <w:pStyle w:val="13"/>
              <w:rPr>
                <w:b/>
                <w:color w:val="auto"/>
              </w:rPr>
            </w:pPr>
          </w:p>
        </w:tc>
        <w:tc>
          <w:tcPr>
            <w:tcW w:w="1271" w:type="dxa"/>
            <w:vMerge w:val="continue"/>
            <w:vAlign w:val="center"/>
          </w:tcPr>
          <w:p>
            <w:pPr>
              <w:pStyle w:val="13"/>
              <w:rPr>
                <w:b/>
                <w:color w:val="auto"/>
              </w:rPr>
            </w:pPr>
          </w:p>
        </w:tc>
        <w:tc>
          <w:tcPr>
            <w:tcW w:w="939" w:type="dxa"/>
            <w:vAlign w:val="center"/>
          </w:tcPr>
          <w:p>
            <w:pPr>
              <w:pStyle w:val="13"/>
              <w:rPr>
                <w:b/>
                <w:color w:val="auto"/>
              </w:rPr>
            </w:pPr>
            <w:r>
              <w:rPr>
                <w:b/>
                <w:color w:val="auto"/>
              </w:rPr>
              <w:t>测量前</w:t>
            </w:r>
          </w:p>
        </w:tc>
        <w:tc>
          <w:tcPr>
            <w:tcW w:w="874" w:type="dxa"/>
            <w:vAlign w:val="center"/>
          </w:tcPr>
          <w:p>
            <w:pPr>
              <w:pStyle w:val="13"/>
              <w:rPr>
                <w:b/>
                <w:color w:val="auto"/>
              </w:rPr>
            </w:pPr>
            <w:r>
              <w:rPr>
                <w:b/>
                <w:color w:val="auto"/>
              </w:rPr>
              <w:t>测量后</w:t>
            </w:r>
          </w:p>
        </w:tc>
        <w:tc>
          <w:tcPr>
            <w:tcW w:w="1040" w:type="dxa"/>
            <w:vMerge w:val="continue"/>
            <w:vAlign w:val="center"/>
          </w:tcPr>
          <w:p>
            <w:pPr>
              <w:pStyle w:val="13"/>
              <w:rPr>
                <w:b/>
                <w:color w:val="auto"/>
              </w:rPr>
            </w:pPr>
          </w:p>
        </w:tc>
        <w:tc>
          <w:tcPr>
            <w:tcW w:w="2562" w:type="dxa"/>
            <w:vMerge w:val="continue"/>
            <w:vAlign w:val="center"/>
          </w:tcPr>
          <w:p>
            <w:pPr>
              <w:pStyle w:val="13"/>
              <w:rPr>
                <w:b/>
                <w:color w:val="auto"/>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36" w:type="dxa"/>
            <w:vAlign w:val="center"/>
          </w:tcPr>
          <w:p>
            <w:pPr>
              <w:pStyle w:val="13"/>
              <w:rPr>
                <w:rFonts w:hint="default" w:ascii="Times New Roman" w:hAnsi="Times New Roman" w:cs="Times New Roman"/>
                <w:color w:val="auto"/>
              </w:rPr>
            </w:pPr>
            <w:r>
              <w:rPr>
                <w:rFonts w:hint="default" w:ascii="Times New Roman" w:hAnsi="Times New Roman" w:cs="Times New Roman"/>
                <w:color w:val="auto"/>
              </w:rPr>
              <w:t>2017.11.03</w:t>
            </w:r>
          </w:p>
        </w:tc>
        <w:tc>
          <w:tcPr>
            <w:tcW w:w="1271" w:type="dxa"/>
            <w:vMerge w:val="restart"/>
            <w:vAlign w:val="center"/>
          </w:tcPr>
          <w:p>
            <w:pPr>
              <w:pStyle w:val="13"/>
              <w:rPr>
                <w:rFonts w:hint="default" w:ascii="Times New Roman" w:hAnsi="Times New Roman" w:eastAsia="宋体" w:cs="Times New Roman"/>
                <w:color w:val="auto"/>
                <w:lang w:val="en-US" w:eastAsia="zh-CN"/>
              </w:rPr>
            </w:pPr>
            <w:r>
              <w:rPr>
                <w:rFonts w:hint="default" w:ascii="Times New Roman" w:hAnsi="Times New Roman" w:cs="Times New Roman"/>
                <w:color w:val="auto"/>
                <w:lang w:val="en-US" w:eastAsia="zh-CN"/>
              </w:rPr>
              <w:t>93.8</w:t>
            </w:r>
          </w:p>
        </w:tc>
        <w:tc>
          <w:tcPr>
            <w:tcW w:w="939" w:type="dxa"/>
            <w:vAlign w:val="center"/>
          </w:tcPr>
          <w:p>
            <w:pPr>
              <w:rPr>
                <w:rFonts w:hint="default" w:ascii="Times New Roman" w:hAnsi="Times New Roman" w:cs="Times New Roman"/>
                <w:color w:val="auto"/>
              </w:rPr>
            </w:pPr>
            <w:r>
              <w:rPr>
                <w:rFonts w:hint="default" w:ascii="Times New Roman" w:hAnsi="Times New Roman" w:cs="Times New Roman"/>
                <w:color w:val="auto"/>
                <w:lang w:val="en-US" w:eastAsia="zh-CN"/>
              </w:rPr>
              <w:t>93.8</w:t>
            </w:r>
          </w:p>
        </w:tc>
        <w:tc>
          <w:tcPr>
            <w:tcW w:w="874" w:type="dxa"/>
            <w:vAlign w:val="center"/>
          </w:tcPr>
          <w:p>
            <w:pPr>
              <w:rPr>
                <w:rFonts w:hint="default" w:ascii="Times New Roman" w:hAnsi="Times New Roman" w:cs="Times New Roman"/>
                <w:color w:val="auto"/>
              </w:rPr>
            </w:pPr>
            <w:r>
              <w:rPr>
                <w:rFonts w:hint="default" w:ascii="Times New Roman" w:hAnsi="Times New Roman" w:cs="Times New Roman"/>
                <w:color w:val="auto"/>
                <w:lang w:val="en-US" w:eastAsia="zh-CN"/>
              </w:rPr>
              <w:t>93.8</w:t>
            </w:r>
          </w:p>
        </w:tc>
        <w:tc>
          <w:tcPr>
            <w:tcW w:w="1040" w:type="dxa"/>
            <w:vAlign w:val="center"/>
          </w:tcPr>
          <w:p>
            <w:pPr>
              <w:pStyle w:val="13"/>
              <w:rPr>
                <w:color w:val="auto"/>
              </w:rPr>
            </w:pPr>
            <w:r>
              <w:rPr>
                <w:color w:val="auto"/>
              </w:rPr>
              <w:t>0%</w:t>
            </w:r>
          </w:p>
        </w:tc>
        <w:tc>
          <w:tcPr>
            <w:tcW w:w="2562" w:type="dxa"/>
            <w:vMerge w:val="restart"/>
            <w:vAlign w:val="center"/>
          </w:tcPr>
          <w:p>
            <w:pPr>
              <w:pStyle w:val="13"/>
              <w:rPr>
                <w:color w:val="auto"/>
              </w:rPr>
            </w:pPr>
            <w:r>
              <w:rPr>
                <w:color w:val="auto"/>
              </w:rPr>
              <w:t>测量前后校准声级相对误差小于0.5%，测量数据有效。</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36" w:type="dxa"/>
            <w:tcBorders>
              <w:bottom w:val="double" w:color="auto" w:sz="4" w:space="0"/>
            </w:tcBorders>
            <w:vAlign w:val="center"/>
          </w:tcPr>
          <w:p>
            <w:pPr>
              <w:pStyle w:val="13"/>
              <w:rPr>
                <w:rFonts w:hint="default" w:ascii="Times New Roman" w:hAnsi="Times New Roman" w:cs="Times New Roman"/>
                <w:color w:val="auto"/>
              </w:rPr>
            </w:pPr>
            <w:r>
              <w:rPr>
                <w:rFonts w:hint="default" w:ascii="Times New Roman" w:hAnsi="Times New Roman" w:cs="Times New Roman"/>
                <w:color w:val="auto"/>
              </w:rPr>
              <w:t>2017.11.04</w:t>
            </w:r>
          </w:p>
        </w:tc>
        <w:tc>
          <w:tcPr>
            <w:tcW w:w="1271" w:type="dxa"/>
            <w:vMerge w:val="continue"/>
            <w:tcBorders>
              <w:bottom w:val="double" w:color="auto" w:sz="4" w:space="0"/>
            </w:tcBorders>
            <w:vAlign w:val="center"/>
          </w:tcPr>
          <w:p>
            <w:pPr>
              <w:pStyle w:val="13"/>
              <w:rPr>
                <w:rFonts w:hint="default" w:ascii="Times New Roman" w:hAnsi="Times New Roman" w:cs="Times New Roman"/>
                <w:color w:val="FF0000"/>
              </w:rPr>
            </w:pPr>
          </w:p>
        </w:tc>
        <w:tc>
          <w:tcPr>
            <w:tcW w:w="939" w:type="dxa"/>
            <w:tcBorders>
              <w:bottom w:val="double" w:color="auto" w:sz="4" w:space="0"/>
            </w:tcBorders>
            <w:vAlign w:val="center"/>
          </w:tcPr>
          <w:p>
            <w:pPr>
              <w:rPr>
                <w:rFonts w:hint="default" w:ascii="Times New Roman" w:hAnsi="Times New Roman" w:cs="Times New Roman"/>
                <w:color w:val="auto"/>
              </w:rPr>
            </w:pPr>
            <w:r>
              <w:rPr>
                <w:rFonts w:hint="default" w:ascii="Times New Roman" w:hAnsi="Times New Roman" w:cs="Times New Roman"/>
                <w:color w:val="auto"/>
                <w:lang w:val="en-US" w:eastAsia="zh-CN"/>
              </w:rPr>
              <w:t>93.8</w:t>
            </w:r>
          </w:p>
        </w:tc>
        <w:tc>
          <w:tcPr>
            <w:tcW w:w="874" w:type="dxa"/>
            <w:tcBorders>
              <w:bottom w:val="double" w:color="auto" w:sz="4" w:space="0"/>
            </w:tcBorders>
            <w:vAlign w:val="center"/>
          </w:tcPr>
          <w:p>
            <w:pPr>
              <w:rPr>
                <w:rFonts w:hint="default" w:ascii="Times New Roman" w:hAnsi="Times New Roman" w:cs="Times New Roman"/>
                <w:color w:val="auto"/>
              </w:rPr>
            </w:pPr>
            <w:r>
              <w:rPr>
                <w:rFonts w:hint="default" w:ascii="Times New Roman" w:hAnsi="Times New Roman" w:cs="Times New Roman"/>
                <w:color w:val="auto"/>
                <w:lang w:val="en-US" w:eastAsia="zh-CN"/>
              </w:rPr>
              <w:t>93.8</w:t>
            </w:r>
          </w:p>
        </w:tc>
        <w:tc>
          <w:tcPr>
            <w:tcW w:w="1040" w:type="dxa"/>
            <w:tcBorders>
              <w:bottom w:val="double" w:color="auto" w:sz="4" w:space="0"/>
            </w:tcBorders>
            <w:vAlign w:val="center"/>
          </w:tcPr>
          <w:p>
            <w:pPr>
              <w:pStyle w:val="13"/>
              <w:rPr>
                <w:color w:val="auto"/>
              </w:rPr>
            </w:pPr>
            <w:r>
              <w:rPr>
                <w:color w:val="auto"/>
              </w:rPr>
              <w:t>0%</w:t>
            </w:r>
          </w:p>
        </w:tc>
        <w:tc>
          <w:tcPr>
            <w:tcW w:w="2562" w:type="dxa"/>
            <w:vMerge w:val="continue"/>
            <w:tcBorders>
              <w:bottom w:val="double" w:color="auto" w:sz="4" w:space="0"/>
            </w:tcBorders>
            <w:vAlign w:val="center"/>
          </w:tcPr>
          <w:p>
            <w:pPr>
              <w:pStyle w:val="13"/>
              <w:rPr>
                <w:color w:val="FF0000"/>
              </w:rPr>
            </w:pPr>
          </w:p>
        </w:tc>
      </w:tr>
    </w:tbl>
    <w:p>
      <w:pPr>
        <w:overflowPunct w:val="0"/>
        <w:topLinePunct/>
        <w:spacing w:line="590" w:lineRule="exact"/>
        <w:ind w:firstLine="640" w:firstLineChars="200"/>
        <w:rPr>
          <w:rFonts w:ascii="Times New Roman" w:hAnsi="Times New Roman" w:eastAsia="方正黑体_GBK"/>
          <w:b/>
          <w:sz w:val="32"/>
          <w:szCs w:val="32"/>
        </w:rPr>
      </w:pPr>
      <w:r>
        <w:rPr>
          <w:rFonts w:ascii="Times New Roman" w:hAnsi="Times New Roman" w:eastAsia="方正黑体_GBK"/>
          <w:b/>
          <w:sz w:val="32"/>
          <w:szCs w:val="32"/>
        </w:rPr>
        <w:br w:type="page"/>
      </w:r>
    </w:p>
    <w:p>
      <w:pPr>
        <w:pStyle w:val="2"/>
      </w:pPr>
      <w:r>
        <w:t>9  厂界噪声验收监测结果及固体废物处置情况检查</w:t>
      </w:r>
    </w:p>
    <w:p>
      <w:pPr>
        <w:pStyle w:val="3"/>
      </w:pPr>
      <w:r>
        <w:t>9.1  生产工况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验收监测期间，该项目所需的环保设施按要求已安装到位并能正常运行，项目工况运行情况见表</w:t>
      </w:r>
      <w:r>
        <w:rPr>
          <w:rFonts w:hint="eastAsia" w:ascii="Times New Roman" w:hAnsi="Times New Roman"/>
          <w:sz w:val="24"/>
          <w:szCs w:val="24"/>
          <w:lang w:val="en-US" w:eastAsia="zh-CN"/>
        </w:rPr>
        <w:t>11</w:t>
      </w:r>
      <w:r>
        <w:rPr>
          <w:rFonts w:ascii="Times New Roman" w:hAnsi="Times New Roman"/>
          <w:sz w:val="24"/>
          <w:szCs w:val="24"/>
        </w:rPr>
        <w:t>。</w:t>
      </w:r>
    </w:p>
    <w:p>
      <w:pPr>
        <w:pStyle w:val="12"/>
        <w:spacing w:after="120" w:afterLines="50"/>
        <w:ind w:firstLine="0" w:firstLineChars="0"/>
      </w:pPr>
      <w:r>
        <w:t>表</w:t>
      </w:r>
      <w:r>
        <w:rPr>
          <w:rFonts w:hint="eastAsia"/>
          <w:lang w:val="en-US" w:eastAsia="zh-CN"/>
        </w:rPr>
        <w:t>11</w:t>
      </w:r>
      <w:r>
        <w:t xml:space="preserve">    验收监测期间工况表</w:t>
      </w:r>
    </w:p>
    <w:tbl>
      <w:tblPr>
        <w:tblStyle w:val="10"/>
        <w:tblW w:w="8188"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67"/>
        <w:gridCol w:w="1693"/>
        <w:gridCol w:w="2003"/>
        <w:gridCol w:w="1199"/>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526" w:type="dxa"/>
            <w:tcBorders>
              <w:top w:val="double" w:color="auto" w:sz="4" w:space="0"/>
            </w:tcBorders>
            <w:vAlign w:val="center"/>
          </w:tcPr>
          <w:p>
            <w:pPr>
              <w:pStyle w:val="13"/>
              <w:rPr>
                <w:b/>
                <w:color w:val="auto"/>
                <w:szCs w:val="21"/>
              </w:rPr>
            </w:pPr>
            <w:r>
              <w:rPr>
                <w:b/>
                <w:color w:val="auto"/>
                <w:szCs w:val="21"/>
              </w:rPr>
              <w:t>监测日期</w:t>
            </w:r>
          </w:p>
        </w:tc>
        <w:tc>
          <w:tcPr>
            <w:tcW w:w="1767" w:type="dxa"/>
            <w:tcBorders>
              <w:top w:val="double" w:color="auto" w:sz="4" w:space="0"/>
            </w:tcBorders>
            <w:vAlign w:val="center"/>
          </w:tcPr>
          <w:p>
            <w:pPr>
              <w:pStyle w:val="13"/>
              <w:rPr>
                <w:b/>
                <w:color w:val="auto"/>
                <w:szCs w:val="21"/>
              </w:rPr>
            </w:pPr>
            <w:r>
              <w:rPr>
                <w:b/>
                <w:color w:val="auto"/>
                <w:szCs w:val="21"/>
              </w:rPr>
              <w:t>原料</w:t>
            </w:r>
          </w:p>
        </w:tc>
        <w:tc>
          <w:tcPr>
            <w:tcW w:w="1693" w:type="dxa"/>
            <w:tcBorders>
              <w:top w:val="double" w:color="auto" w:sz="4" w:space="0"/>
            </w:tcBorders>
            <w:vAlign w:val="center"/>
          </w:tcPr>
          <w:p>
            <w:pPr>
              <w:pStyle w:val="13"/>
              <w:rPr>
                <w:b/>
                <w:color w:val="auto"/>
                <w:szCs w:val="21"/>
              </w:rPr>
            </w:pPr>
            <w:r>
              <w:rPr>
                <w:b/>
                <w:color w:val="auto"/>
                <w:szCs w:val="21"/>
              </w:rPr>
              <w:t>设计（吨/天）</w:t>
            </w:r>
          </w:p>
        </w:tc>
        <w:tc>
          <w:tcPr>
            <w:tcW w:w="2003" w:type="dxa"/>
            <w:tcBorders>
              <w:top w:val="double" w:color="auto" w:sz="4" w:space="0"/>
            </w:tcBorders>
            <w:vAlign w:val="center"/>
          </w:tcPr>
          <w:p>
            <w:pPr>
              <w:pStyle w:val="13"/>
              <w:rPr>
                <w:b/>
                <w:color w:val="auto"/>
                <w:szCs w:val="21"/>
              </w:rPr>
            </w:pPr>
            <w:r>
              <w:rPr>
                <w:b/>
                <w:color w:val="auto"/>
                <w:szCs w:val="21"/>
              </w:rPr>
              <w:t>实际（吨/天）</w:t>
            </w:r>
          </w:p>
        </w:tc>
        <w:tc>
          <w:tcPr>
            <w:tcW w:w="1199" w:type="dxa"/>
            <w:tcBorders>
              <w:top w:val="double" w:color="auto" w:sz="4" w:space="0"/>
            </w:tcBorders>
            <w:vAlign w:val="center"/>
          </w:tcPr>
          <w:p>
            <w:pPr>
              <w:pStyle w:val="13"/>
              <w:rPr>
                <w:b/>
                <w:color w:val="auto"/>
                <w:szCs w:val="21"/>
              </w:rPr>
            </w:pPr>
            <w:r>
              <w:rPr>
                <w:b/>
                <w:color w:val="auto"/>
                <w:szCs w:val="21"/>
              </w:rPr>
              <w:t>生产负荷</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26" w:type="dxa"/>
            <w:vAlign w:val="center"/>
          </w:tcPr>
          <w:p>
            <w:pPr>
              <w:pStyle w:val="13"/>
              <w:rPr>
                <w:color w:val="auto"/>
                <w:szCs w:val="21"/>
              </w:rPr>
            </w:pPr>
            <w:r>
              <w:rPr>
                <w:color w:val="auto"/>
                <w:szCs w:val="21"/>
              </w:rPr>
              <w:t>2017.11.03</w:t>
            </w:r>
          </w:p>
        </w:tc>
        <w:tc>
          <w:tcPr>
            <w:tcW w:w="1767" w:type="dxa"/>
            <w:vAlign w:val="center"/>
          </w:tcPr>
          <w:p>
            <w:pPr>
              <w:ind w:firstLine="0" w:firstLineChars="0"/>
              <w:jc w:val="center"/>
              <w:textAlignment w:val="center"/>
              <w:rPr>
                <w:rFonts w:ascii="Times New Roman" w:hAnsi="Times New Roman"/>
                <w:kern w:val="2"/>
                <w:sz w:val="21"/>
                <w:szCs w:val="21"/>
              </w:rPr>
            </w:pPr>
            <w:r>
              <w:rPr>
                <w:rFonts w:ascii="Times New Roman" w:hAnsi="Times New Roman"/>
                <w:kern w:val="2"/>
                <w:sz w:val="21"/>
                <w:szCs w:val="21"/>
              </w:rPr>
              <w:t>常压渣油</w:t>
            </w:r>
          </w:p>
        </w:tc>
        <w:tc>
          <w:tcPr>
            <w:tcW w:w="1693" w:type="dxa"/>
            <w:vAlign w:val="center"/>
          </w:tcPr>
          <w:p>
            <w:pPr>
              <w:ind w:firstLine="0" w:firstLineChars="0"/>
              <w:jc w:val="center"/>
              <w:textAlignment w:val="center"/>
              <w:rPr>
                <w:rFonts w:ascii="Times New Roman" w:hAnsi="Times New Roman"/>
                <w:kern w:val="2"/>
                <w:sz w:val="21"/>
                <w:szCs w:val="21"/>
              </w:rPr>
            </w:pPr>
            <w:r>
              <w:rPr>
                <w:rFonts w:ascii="Times New Roman" w:hAnsi="Times New Roman"/>
                <w:kern w:val="2"/>
                <w:sz w:val="21"/>
                <w:szCs w:val="21"/>
              </w:rPr>
              <w:t>3003.003</w:t>
            </w:r>
          </w:p>
        </w:tc>
        <w:tc>
          <w:tcPr>
            <w:tcW w:w="2003" w:type="dxa"/>
            <w:vAlign w:val="center"/>
          </w:tcPr>
          <w:p>
            <w:pPr>
              <w:ind w:firstLine="0" w:firstLineChars="0"/>
              <w:jc w:val="center"/>
              <w:textAlignment w:val="center"/>
              <w:rPr>
                <w:rFonts w:ascii="Times New Roman" w:hAnsi="Times New Roman"/>
                <w:kern w:val="2"/>
                <w:sz w:val="21"/>
                <w:szCs w:val="21"/>
              </w:rPr>
            </w:pPr>
            <w:r>
              <w:rPr>
                <w:rFonts w:ascii="Times New Roman" w:hAnsi="Times New Roman"/>
                <w:kern w:val="2"/>
                <w:sz w:val="21"/>
                <w:szCs w:val="21"/>
              </w:rPr>
              <w:t>2685.602</w:t>
            </w:r>
          </w:p>
        </w:tc>
        <w:tc>
          <w:tcPr>
            <w:tcW w:w="1199" w:type="dxa"/>
            <w:vAlign w:val="center"/>
          </w:tcPr>
          <w:p>
            <w:pPr>
              <w:ind w:firstLine="0" w:firstLineChars="0"/>
              <w:jc w:val="center"/>
              <w:textAlignment w:val="center"/>
              <w:rPr>
                <w:rFonts w:ascii="Times New Roman" w:hAnsi="Times New Roman"/>
                <w:kern w:val="2"/>
                <w:sz w:val="21"/>
                <w:szCs w:val="21"/>
              </w:rPr>
            </w:pPr>
            <w:r>
              <w:rPr>
                <w:rFonts w:ascii="Times New Roman" w:hAnsi="Times New Roman"/>
                <w:kern w:val="2"/>
                <w:sz w:val="21"/>
                <w:szCs w:val="21"/>
              </w:rPr>
              <w:t>89.4%</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26" w:type="dxa"/>
            <w:vAlign w:val="center"/>
          </w:tcPr>
          <w:p>
            <w:pPr>
              <w:pStyle w:val="13"/>
              <w:rPr>
                <w:color w:val="auto"/>
                <w:szCs w:val="21"/>
              </w:rPr>
            </w:pPr>
            <w:r>
              <w:rPr>
                <w:color w:val="auto"/>
                <w:szCs w:val="21"/>
              </w:rPr>
              <w:t>2017.11.04</w:t>
            </w:r>
          </w:p>
        </w:tc>
        <w:tc>
          <w:tcPr>
            <w:tcW w:w="1767" w:type="dxa"/>
            <w:vAlign w:val="center"/>
          </w:tcPr>
          <w:p>
            <w:pPr>
              <w:ind w:firstLine="0" w:firstLineChars="0"/>
              <w:jc w:val="center"/>
              <w:textAlignment w:val="center"/>
              <w:rPr>
                <w:rFonts w:ascii="Times New Roman" w:hAnsi="Times New Roman"/>
                <w:szCs w:val="21"/>
              </w:rPr>
            </w:pPr>
            <w:r>
              <w:rPr>
                <w:rFonts w:ascii="Times New Roman" w:hAnsi="Times New Roman"/>
                <w:kern w:val="2"/>
                <w:sz w:val="21"/>
                <w:szCs w:val="21"/>
              </w:rPr>
              <w:t>常压渣油</w:t>
            </w:r>
          </w:p>
        </w:tc>
        <w:tc>
          <w:tcPr>
            <w:tcW w:w="1693" w:type="dxa"/>
            <w:vAlign w:val="center"/>
          </w:tcPr>
          <w:p>
            <w:pPr>
              <w:ind w:firstLine="0" w:firstLineChars="0"/>
              <w:jc w:val="center"/>
              <w:textAlignment w:val="center"/>
              <w:rPr>
                <w:rFonts w:ascii="Times New Roman" w:hAnsi="Times New Roman"/>
                <w:kern w:val="2"/>
                <w:sz w:val="21"/>
                <w:szCs w:val="21"/>
              </w:rPr>
            </w:pPr>
            <w:r>
              <w:rPr>
                <w:rFonts w:ascii="Times New Roman" w:hAnsi="Times New Roman"/>
                <w:kern w:val="2"/>
                <w:sz w:val="21"/>
                <w:szCs w:val="21"/>
              </w:rPr>
              <w:t>3003.003</w:t>
            </w:r>
          </w:p>
        </w:tc>
        <w:tc>
          <w:tcPr>
            <w:tcW w:w="2003" w:type="dxa"/>
            <w:vAlign w:val="center"/>
          </w:tcPr>
          <w:p>
            <w:pPr>
              <w:ind w:firstLine="0" w:firstLineChars="0"/>
              <w:jc w:val="center"/>
              <w:textAlignment w:val="center"/>
              <w:rPr>
                <w:rFonts w:ascii="Times New Roman" w:hAnsi="Times New Roman"/>
                <w:kern w:val="2"/>
                <w:sz w:val="21"/>
                <w:szCs w:val="21"/>
              </w:rPr>
            </w:pPr>
            <w:r>
              <w:rPr>
                <w:rFonts w:ascii="Times New Roman" w:hAnsi="Times New Roman"/>
                <w:kern w:val="2"/>
                <w:sz w:val="21"/>
                <w:szCs w:val="21"/>
              </w:rPr>
              <w:t>2650.639</w:t>
            </w:r>
          </w:p>
        </w:tc>
        <w:tc>
          <w:tcPr>
            <w:tcW w:w="1199" w:type="dxa"/>
            <w:vAlign w:val="center"/>
          </w:tcPr>
          <w:p>
            <w:pPr>
              <w:ind w:firstLine="0" w:firstLineChars="0"/>
              <w:jc w:val="center"/>
              <w:textAlignment w:val="center"/>
              <w:rPr>
                <w:rFonts w:ascii="Times New Roman" w:hAnsi="Times New Roman"/>
                <w:kern w:val="2"/>
                <w:sz w:val="21"/>
                <w:szCs w:val="21"/>
              </w:rPr>
            </w:pPr>
            <w:r>
              <w:rPr>
                <w:rFonts w:ascii="Times New Roman" w:hAnsi="Times New Roman"/>
                <w:kern w:val="2"/>
                <w:sz w:val="21"/>
                <w:szCs w:val="21"/>
              </w:rPr>
              <w:t>88.3%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26" w:type="dxa"/>
            <w:vAlign w:val="center"/>
          </w:tcPr>
          <w:p>
            <w:pPr>
              <w:pStyle w:val="13"/>
              <w:rPr>
                <w:color w:val="auto"/>
                <w:szCs w:val="21"/>
              </w:rPr>
            </w:pPr>
            <w:r>
              <w:rPr>
                <w:color w:val="auto"/>
                <w:szCs w:val="21"/>
              </w:rPr>
              <w:t>2017.11.05</w:t>
            </w:r>
          </w:p>
        </w:tc>
        <w:tc>
          <w:tcPr>
            <w:tcW w:w="1767" w:type="dxa"/>
            <w:vAlign w:val="center"/>
          </w:tcPr>
          <w:p>
            <w:pPr>
              <w:ind w:firstLine="0" w:firstLineChars="0"/>
              <w:jc w:val="center"/>
              <w:textAlignment w:val="center"/>
              <w:rPr>
                <w:rFonts w:ascii="Times New Roman" w:hAnsi="Times New Roman"/>
                <w:bCs/>
                <w:kern w:val="2"/>
                <w:sz w:val="21"/>
                <w:szCs w:val="21"/>
              </w:rPr>
            </w:pPr>
            <w:r>
              <w:rPr>
                <w:rFonts w:ascii="Times New Roman" w:hAnsi="Times New Roman"/>
                <w:kern w:val="2"/>
                <w:sz w:val="21"/>
                <w:szCs w:val="21"/>
              </w:rPr>
              <w:t>常压渣油</w:t>
            </w:r>
          </w:p>
        </w:tc>
        <w:tc>
          <w:tcPr>
            <w:tcW w:w="1693" w:type="dxa"/>
            <w:vAlign w:val="center"/>
          </w:tcPr>
          <w:p>
            <w:pPr>
              <w:ind w:firstLine="0" w:firstLineChars="0"/>
              <w:jc w:val="center"/>
              <w:textAlignment w:val="center"/>
              <w:rPr>
                <w:rFonts w:ascii="Times New Roman" w:hAnsi="Times New Roman"/>
                <w:kern w:val="2"/>
                <w:sz w:val="21"/>
                <w:szCs w:val="21"/>
              </w:rPr>
            </w:pPr>
            <w:r>
              <w:rPr>
                <w:rFonts w:ascii="Times New Roman" w:hAnsi="Times New Roman"/>
                <w:kern w:val="2"/>
                <w:sz w:val="21"/>
                <w:szCs w:val="21"/>
              </w:rPr>
              <w:t>3003.003</w:t>
            </w:r>
          </w:p>
        </w:tc>
        <w:tc>
          <w:tcPr>
            <w:tcW w:w="2003" w:type="dxa"/>
            <w:vAlign w:val="center"/>
          </w:tcPr>
          <w:p>
            <w:pPr>
              <w:ind w:firstLine="0" w:firstLineChars="0"/>
              <w:jc w:val="center"/>
              <w:textAlignment w:val="center"/>
              <w:rPr>
                <w:rFonts w:ascii="Times New Roman" w:hAnsi="Times New Roman"/>
                <w:kern w:val="2"/>
                <w:sz w:val="21"/>
                <w:szCs w:val="21"/>
              </w:rPr>
            </w:pPr>
            <w:r>
              <w:rPr>
                <w:rFonts w:ascii="Times New Roman" w:hAnsi="Times New Roman"/>
                <w:kern w:val="2"/>
                <w:sz w:val="21"/>
                <w:szCs w:val="21"/>
              </w:rPr>
              <w:t>2713.689</w:t>
            </w:r>
          </w:p>
        </w:tc>
        <w:tc>
          <w:tcPr>
            <w:tcW w:w="1199" w:type="dxa"/>
            <w:vAlign w:val="center"/>
          </w:tcPr>
          <w:p>
            <w:pPr>
              <w:ind w:firstLine="0" w:firstLineChars="0"/>
              <w:jc w:val="center"/>
              <w:textAlignment w:val="center"/>
              <w:rPr>
                <w:rFonts w:ascii="Times New Roman" w:hAnsi="Times New Roman"/>
                <w:kern w:val="2"/>
                <w:sz w:val="21"/>
                <w:szCs w:val="21"/>
              </w:rPr>
            </w:pPr>
            <w:r>
              <w:rPr>
                <w:rFonts w:ascii="Times New Roman" w:hAnsi="Times New Roman"/>
                <w:kern w:val="2"/>
                <w:sz w:val="21"/>
                <w:szCs w:val="21"/>
              </w:rPr>
              <w:t>90.4%</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由表</w:t>
      </w:r>
      <w:r>
        <w:rPr>
          <w:rFonts w:hint="eastAsia" w:ascii="Times New Roman" w:hAnsi="Times New Roman"/>
          <w:sz w:val="24"/>
          <w:szCs w:val="24"/>
          <w:lang w:val="en-US" w:eastAsia="zh-CN"/>
        </w:rPr>
        <w:t>1</w:t>
      </w:r>
      <w:r>
        <w:rPr>
          <w:rFonts w:ascii="Times New Roman" w:hAnsi="Times New Roman"/>
          <w:sz w:val="24"/>
          <w:szCs w:val="24"/>
        </w:rPr>
        <w:t>1可以看出，该项目生产运行负荷在验收监测期间为88.3%~90.4%，满足建设项目竣工环境保护验收监测期间生产负荷达到额定生产负荷75%以上的要求。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工况证明见附件</w:t>
      </w:r>
      <w:r>
        <w:rPr>
          <w:rFonts w:hint="eastAsia" w:ascii="Times New Roman" w:hAnsi="Times New Roman"/>
          <w:sz w:val="24"/>
          <w:szCs w:val="24"/>
          <w:lang w:val="en-US" w:eastAsia="zh-CN"/>
        </w:rPr>
        <w:t>5</w:t>
      </w:r>
      <w:r>
        <w:rPr>
          <w:rFonts w:ascii="Times New Roman" w:hAnsi="Times New Roman"/>
          <w:sz w:val="24"/>
          <w:szCs w:val="24"/>
        </w:rPr>
        <w:t>。</w:t>
      </w:r>
    </w:p>
    <w:p>
      <w:pPr>
        <w:pStyle w:val="3"/>
      </w:pPr>
      <w:r>
        <w:t>9.2  厂界噪声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sz w:val="24"/>
          <w:szCs w:val="24"/>
        </w:rPr>
      </w:pPr>
      <w:r>
        <w:rPr>
          <w:rFonts w:ascii="Times New Roman" w:hAnsi="Times New Roman"/>
          <w:sz w:val="24"/>
          <w:szCs w:val="24"/>
        </w:rPr>
        <w:t>噪声检测结果见表</w:t>
      </w:r>
      <w:r>
        <w:rPr>
          <w:rFonts w:hint="eastAsia" w:ascii="Times New Roman" w:hAnsi="Times New Roman"/>
          <w:sz w:val="24"/>
          <w:szCs w:val="24"/>
          <w:lang w:val="en-US" w:eastAsia="zh-CN"/>
        </w:rPr>
        <w:t>12</w:t>
      </w:r>
      <w:r>
        <w:rPr>
          <w:rFonts w:ascii="Times New Roman" w:hAnsi="Times New Roman"/>
          <w:sz w:val="24"/>
          <w:szCs w:val="24"/>
        </w:rPr>
        <w:t>。</w:t>
      </w:r>
    </w:p>
    <w:p>
      <w:pPr>
        <w:pStyle w:val="12"/>
        <w:spacing w:before="120" w:beforeLines="50" w:after="120" w:afterLines="50"/>
        <w:ind w:firstLine="0" w:firstLineChars="0"/>
        <w:rPr>
          <w:b w:val="0"/>
          <w:bCs/>
        </w:rPr>
      </w:pPr>
      <w:r>
        <w:t>表</w:t>
      </w:r>
      <w:r>
        <w:rPr>
          <w:rFonts w:hint="eastAsia"/>
          <w:lang w:val="en-US" w:eastAsia="zh-CN"/>
        </w:rPr>
        <w:t>12</w:t>
      </w:r>
      <w:r>
        <w:t xml:space="preserve">    噪声检测结果       </w:t>
      </w:r>
      <w:r>
        <w:rPr>
          <w:b w:val="0"/>
          <w:bCs/>
        </w:rPr>
        <w:t>单位：dB（A）</w:t>
      </w:r>
    </w:p>
    <w:tbl>
      <w:tblPr>
        <w:tblStyle w:val="10"/>
        <w:tblW w:w="8346"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20"/>
        <w:gridCol w:w="2322"/>
        <w:gridCol w:w="1721"/>
        <w:gridCol w:w="1983"/>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320" w:type="dxa"/>
            <w:tcBorders>
              <w:top w:val="double" w:color="auto" w:sz="4" w:space="0"/>
            </w:tcBorders>
            <w:vAlign w:val="center"/>
          </w:tcPr>
          <w:p>
            <w:pPr>
              <w:pStyle w:val="13"/>
              <w:spacing w:line="240" w:lineRule="auto"/>
              <w:rPr>
                <w:b/>
                <w:color w:val="auto"/>
              </w:rPr>
            </w:pPr>
            <w:r>
              <w:rPr>
                <w:b/>
                <w:color w:val="auto"/>
              </w:rPr>
              <w:t>检测时间</w:t>
            </w:r>
          </w:p>
        </w:tc>
        <w:tc>
          <w:tcPr>
            <w:tcW w:w="2322" w:type="dxa"/>
            <w:tcBorders>
              <w:top w:val="double" w:color="auto" w:sz="4" w:space="0"/>
            </w:tcBorders>
            <w:vAlign w:val="center"/>
          </w:tcPr>
          <w:p>
            <w:pPr>
              <w:pStyle w:val="13"/>
              <w:spacing w:line="240" w:lineRule="auto"/>
              <w:rPr>
                <w:b/>
                <w:color w:val="auto"/>
              </w:rPr>
            </w:pPr>
            <w:r>
              <w:rPr>
                <w:b/>
                <w:color w:val="auto"/>
              </w:rPr>
              <w:t>检测点位</w:t>
            </w:r>
          </w:p>
        </w:tc>
        <w:tc>
          <w:tcPr>
            <w:tcW w:w="1721" w:type="dxa"/>
            <w:tcBorders>
              <w:top w:val="double" w:color="auto" w:sz="4" w:space="0"/>
            </w:tcBorders>
            <w:vAlign w:val="center"/>
          </w:tcPr>
          <w:p>
            <w:pPr>
              <w:pStyle w:val="13"/>
              <w:spacing w:line="240" w:lineRule="auto"/>
              <w:rPr>
                <w:b/>
                <w:color w:val="auto"/>
              </w:rPr>
            </w:pPr>
            <w:r>
              <w:rPr>
                <w:b/>
                <w:color w:val="auto"/>
              </w:rPr>
              <w:t>昼间</w:t>
            </w:r>
          </w:p>
        </w:tc>
        <w:tc>
          <w:tcPr>
            <w:tcW w:w="1983" w:type="dxa"/>
            <w:tcBorders>
              <w:top w:val="double" w:color="auto" w:sz="4" w:space="0"/>
            </w:tcBorders>
            <w:vAlign w:val="center"/>
          </w:tcPr>
          <w:p>
            <w:pPr>
              <w:pStyle w:val="13"/>
              <w:spacing w:line="240" w:lineRule="auto"/>
              <w:rPr>
                <w:b/>
                <w:color w:val="auto"/>
              </w:rPr>
            </w:pPr>
            <w:r>
              <w:rPr>
                <w:b/>
                <w:color w:val="auto"/>
              </w:rPr>
              <w:t>夜间</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0" w:type="dxa"/>
            <w:vMerge w:val="restart"/>
            <w:vAlign w:val="center"/>
          </w:tcPr>
          <w:p>
            <w:pPr>
              <w:pStyle w:val="13"/>
              <w:spacing w:line="240" w:lineRule="auto"/>
              <w:rPr>
                <w:color w:val="auto"/>
              </w:rPr>
            </w:pPr>
            <w:r>
              <w:rPr>
                <w:color w:val="auto"/>
              </w:rPr>
              <w:t>2017.11.03</w:t>
            </w:r>
          </w:p>
        </w:tc>
        <w:tc>
          <w:tcPr>
            <w:tcW w:w="2322" w:type="dxa"/>
            <w:vAlign w:val="center"/>
          </w:tcPr>
          <w:p>
            <w:pPr>
              <w:pStyle w:val="13"/>
              <w:spacing w:line="240" w:lineRule="auto"/>
              <w:rPr>
                <w:color w:val="auto"/>
              </w:rPr>
            </w:pPr>
            <w:r>
              <w:rPr>
                <w:color w:val="auto"/>
              </w:rPr>
              <w:t>东厂界外1m处</w:t>
            </w:r>
          </w:p>
        </w:tc>
        <w:tc>
          <w:tcPr>
            <w:tcW w:w="1721" w:type="dxa"/>
            <w:vAlign w:val="center"/>
          </w:tcPr>
          <w:p>
            <w:pPr>
              <w:pStyle w:val="13"/>
              <w:spacing w:line="240" w:lineRule="auto"/>
              <w:rPr>
                <w:color w:val="auto"/>
              </w:rPr>
            </w:pPr>
            <w:r>
              <w:rPr>
                <w:color w:val="auto"/>
              </w:rPr>
              <w:t>58.0</w:t>
            </w:r>
          </w:p>
        </w:tc>
        <w:tc>
          <w:tcPr>
            <w:tcW w:w="1983" w:type="dxa"/>
            <w:vAlign w:val="center"/>
          </w:tcPr>
          <w:p>
            <w:pPr>
              <w:pStyle w:val="13"/>
              <w:spacing w:line="240" w:lineRule="auto"/>
              <w:rPr>
                <w:color w:val="auto"/>
              </w:rPr>
            </w:pPr>
            <w:r>
              <w:rPr>
                <w:color w:val="auto"/>
              </w:rPr>
              <w:t>51.8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0" w:type="dxa"/>
            <w:vMerge w:val="continue"/>
            <w:vAlign w:val="center"/>
          </w:tcPr>
          <w:p>
            <w:pPr>
              <w:pStyle w:val="13"/>
              <w:spacing w:line="240" w:lineRule="auto"/>
              <w:rPr>
                <w:color w:val="auto"/>
              </w:rPr>
            </w:pPr>
          </w:p>
        </w:tc>
        <w:tc>
          <w:tcPr>
            <w:tcW w:w="2322" w:type="dxa"/>
            <w:vAlign w:val="center"/>
          </w:tcPr>
          <w:p>
            <w:pPr>
              <w:pStyle w:val="13"/>
              <w:spacing w:line="240" w:lineRule="auto"/>
              <w:rPr>
                <w:color w:val="auto"/>
              </w:rPr>
            </w:pPr>
            <w:r>
              <w:rPr>
                <w:color w:val="auto"/>
              </w:rPr>
              <w:t>西厂界外1m处</w:t>
            </w:r>
          </w:p>
        </w:tc>
        <w:tc>
          <w:tcPr>
            <w:tcW w:w="1721" w:type="dxa"/>
            <w:vAlign w:val="center"/>
          </w:tcPr>
          <w:p>
            <w:pPr>
              <w:pStyle w:val="13"/>
              <w:spacing w:line="240" w:lineRule="auto"/>
              <w:rPr>
                <w:color w:val="auto"/>
              </w:rPr>
            </w:pPr>
            <w:r>
              <w:rPr>
                <w:color w:val="auto"/>
              </w:rPr>
              <w:t>55.8</w:t>
            </w:r>
          </w:p>
        </w:tc>
        <w:tc>
          <w:tcPr>
            <w:tcW w:w="1983" w:type="dxa"/>
            <w:vAlign w:val="center"/>
          </w:tcPr>
          <w:p>
            <w:pPr>
              <w:pStyle w:val="13"/>
              <w:spacing w:line="240" w:lineRule="auto"/>
              <w:rPr>
                <w:color w:val="auto"/>
              </w:rPr>
            </w:pPr>
            <w:r>
              <w:rPr>
                <w:color w:val="auto"/>
              </w:rPr>
              <w:t>50.6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0" w:type="dxa"/>
            <w:vMerge w:val="continue"/>
            <w:vAlign w:val="center"/>
          </w:tcPr>
          <w:p>
            <w:pPr>
              <w:pStyle w:val="13"/>
              <w:spacing w:line="240" w:lineRule="auto"/>
              <w:rPr>
                <w:color w:val="auto"/>
              </w:rPr>
            </w:pPr>
          </w:p>
        </w:tc>
        <w:tc>
          <w:tcPr>
            <w:tcW w:w="2322" w:type="dxa"/>
            <w:vAlign w:val="center"/>
          </w:tcPr>
          <w:p>
            <w:pPr>
              <w:pStyle w:val="13"/>
              <w:spacing w:line="240" w:lineRule="auto"/>
              <w:rPr>
                <w:color w:val="auto"/>
              </w:rPr>
            </w:pPr>
            <w:r>
              <w:rPr>
                <w:color w:val="auto"/>
              </w:rPr>
              <w:t>南厂界外1m处</w:t>
            </w:r>
          </w:p>
        </w:tc>
        <w:tc>
          <w:tcPr>
            <w:tcW w:w="1721" w:type="dxa"/>
            <w:vAlign w:val="center"/>
          </w:tcPr>
          <w:p>
            <w:pPr>
              <w:pStyle w:val="13"/>
              <w:spacing w:line="240" w:lineRule="auto"/>
              <w:rPr>
                <w:color w:val="auto"/>
              </w:rPr>
            </w:pPr>
            <w:r>
              <w:rPr>
                <w:color w:val="auto"/>
              </w:rPr>
              <w:t>56.9</w:t>
            </w:r>
          </w:p>
        </w:tc>
        <w:tc>
          <w:tcPr>
            <w:tcW w:w="1983" w:type="dxa"/>
            <w:vAlign w:val="center"/>
          </w:tcPr>
          <w:p>
            <w:pPr>
              <w:pStyle w:val="13"/>
              <w:spacing w:line="240" w:lineRule="auto"/>
              <w:rPr>
                <w:color w:val="auto"/>
              </w:rPr>
            </w:pPr>
            <w:r>
              <w:rPr>
                <w:color w:val="auto"/>
              </w:rPr>
              <w:t>51.3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0" w:type="dxa"/>
            <w:vMerge w:val="continue"/>
            <w:vAlign w:val="center"/>
          </w:tcPr>
          <w:p>
            <w:pPr>
              <w:pStyle w:val="13"/>
              <w:spacing w:line="240" w:lineRule="auto"/>
              <w:rPr>
                <w:color w:val="auto"/>
              </w:rPr>
            </w:pPr>
          </w:p>
        </w:tc>
        <w:tc>
          <w:tcPr>
            <w:tcW w:w="2322" w:type="dxa"/>
            <w:vAlign w:val="center"/>
          </w:tcPr>
          <w:p>
            <w:pPr>
              <w:pStyle w:val="13"/>
              <w:spacing w:line="240" w:lineRule="auto"/>
              <w:rPr>
                <w:color w:val="auto"/>
              </w:rPr>
            </w:pPr>
            <w:r>
              <w:rPr>
                <w:color w:val="auto"/>
              </w:rPr>
              <w:t>北厂界外1m处</w:t>
            </w:r>
          </w:p>
        </w:tc>
        <w:tc>
          <w:tcPr>
            <w:tcW w:w="1721" w:type="dxa"/>
            <w:vAlign w:val="center"/>
          </w:tcPr>
          <w:p>
            <w:pPr>
              <w:pStyle w:val="13"/>
              <w:spacing w:line="240" w:lineRule="auto"/>
              <w:rPr>
                <w:color w:val="auto"/>
              </w:rPr>
            </w:pPr>
            <w:r>
              <w:rPr>
                <w:color w:val="auto"/>
              </w:rPr>
              <w:t>61.3</w:t>
            </w:r>
          </w:p>
        </w:tc>
        <w:tc>
          <w:tcPr>
            <w:tcW w:w="1983" w:type="dxa"/>
            <w:vAlign w:val="center"/>
          </w:tcPr>
          <w:p>
            <w:pPr>
              <w:pStyle w:val="13"/>
              <w:spacing w:line="240" w:lineRule="auto"/>
              <w:rPr>
                <w:color w:val="auto"/>
              </w:rPr>
            </w:pPr>
            <w:r>
              <w:rPr>
                <w:color w:val="auto"/>
              </w:rPr>
              <w:t>54.8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0" w:type="dxa"/>
            <w:vMerge w:val="restart"/>
            <w:vAlign w:val="center"/>
          </w:tcPr>
          <w:p>
            <w:pPr>
              <w:pStyle w:val="13"/>
              <w:spacing w:line="240" w:lineRule="auto"/>
              <w:rPr>
                <w:color w:val="auto"/>
              </w:rPr>
            </w:pPr>
            <w:r>
              <w:rPr>
                <w:color w:val="auto"/>
              </w:rPr>
              <w:t>2017.11.04</w:t>
            </w:r>
          </w:p>
        </w:tc>
        <w:tc>
          <w:tcPr>
            <w:tcW w:w="2322" w:type="dxa"/>
            <w:vAlign w:val="center"/>
          </w:tcPr>
          <w:p>
            <w:pPr>
              <w:pStyle w:val="13"/>
              <w:spacing w:line="240" w:lineRule="auto"/>
              <w:rPr>
                <w:color w:val="auto"/>
              </w:rPr>
            </w:pPr>
            <w:r>
              <w:rPr>
                <w:color w:val="auto"/>
              </w:rPr>
              <w:t>东厂界外1m处</w:t>
            </w:r>
          </w:p>
        </w:tc>
        <w:tc>
          <w:tcPr>
            <w:tcW w:w="1721" w:type="dxa"/>
            <w:vAlign w:val="center"/>
          </w:tcPr>
          <w:p>
            <w:pPr>
              <w:pStyle w:val="13"/>
              <w:spacing w:line="240" w:lineRule="auto"/>
              <w:rPr>
                <w:color w:val="auto"/>
              </w:rPr>
            </w:pPr>
            <w:r>
              <w:rPr>
                <w:color w:val="auto"/>
              </w:rPr>
              <w:t>53.6</w:t>
            </w:r>
          </w:p>
        </w:tc>
        <w:tc>
          <w:tcPr>
            <w:tcW w:w="1983" w:type="dxa"/>
            <w:vAlign w:val="center"/>
          </w:tcPr>
          <w:p>
            <w:pPr>
              <w:pStyle w:val="13"/>
              <w:spacing w:line="240" w:lineRule="auto"/>
              <w:rPr>
                <w:color w:val="auto"/>
              </w:rPr>
            </w:pPr>
            <w:r>
              <w:rPr>
                <w:color w:val="auto"/>
              </w:rPr>
              <w:t>51.0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0" w:type="dxa"/>
            <w:vMerge w:val="continue"/>
            <w:vAlign w:val="center"/>
          </w:tcPr>
          <w:p>
            <w:pPr>
              <w:pStyle w:val="13"/>
              <w:spacing w:line="240" w:lineRule="auto"/>
              <w:rPr>
                <w:color w:val="auto"/>
              </w:rPr>
            </w:pPr>
          </w:p>
        </w:tc>
        <w:tc>
          <w:tcPr>
            <w:tcW w:w="2322" w:type="dxa"/>
            <w:vAlign w:val="center"/>
          </w:tcPr>
          <w:p>
            <w:pPr>
              <w:pStyle w:val="13"/>
              <w:spacing w:line="240" w:lineRule="auto"/>
              <w:rPr>
                <w:color w:val="auto"/>
              </w:rPr>
            </w:pPr>
            <w:r>
              <w:rPr>
                <w:color w:val="auto"/>
              </w:rPr>
              <w:t>西厂界外1m处</w:t>
            </w:r>
          </w:p>
        </w:tc>
        <w:tc>
          <w:tcPr>
            <w:tcW w:w="1721" w:type="dxa"/>
            <w:vAlign w:val="center"/>
          </w:tcPr>
          <w:p>
            <w:pPr>
              <w:pStyle w:val="13"/>
              <w:spacing w:line="240" w:lineRule="auto"/>
              <w:rPr>
                <w:color w:val="auto"/>
              </w:rPr>
            </w:pPr>
            <w:r>
              <w:rPr>
                <w:color w:val="auto"/>
              </w:rPr>
              <w:t>54.8</w:t>
            </w:r>
          </w:p>
        </w:tc>
        <w:tc>
          <w:tcPr>
            <w:tcW w:w="1983" w:type="dxa"/>
            <w:vAlign w:val="center"/>
          </w:tcPr>
          <w:p>
            <w:pPr>
              <w:pStyle w:val="13"/>
              <w:spacing w:line="240" w:lineRule="auto"/>
              <w:rPr>
                <w:color w:val="auto"/>
              </w:rPr>
            </w:pPr>
            <w:r>
              <w:rPr>
                <w:color w:val="auto"/>
              </w:rPr>
              <w:t>49.2</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0" w:type="dxa"/>
            <w:vMerge w:val="continue"/>
            <w:vAlign w:val="center"/>
          </w:tcPr>
          <w:p>
            <w:pPr>
              <w:pStyle w:val="13"/>
              <w:spacing w:line="240" w:lineRule="auto"/>
              <w:rPr>
                <w:color w:val="auto"/>
              </w:rPr>
            </w:pPr>
          </w:p>
        </w:tc>
        <w:tc>
          <w:tcPr>
            <w:tcW w:w="2322" w:type="dxa"/>
            <w:vAlign w:val="center"/>
          </w:tcPr>
          <w:p>
            <w:pPr>
              <w:pStyle w:val="13"/>
              <w:spacing w:line="240" w:lineRule="auto"/>
              <w:rPr>
                <w:color w:val="auto"/>
              </w:rPr>
            </w:pPr>
            <w:r>
              <w:rPr>
                <w:color w:val="auto"/>
              </w:rPr>
              <w:t>南厂界外1m处</w:t>
            </w:r>
          </w:p>
        </w:tc>
        <w:tc>
          <w:tcPr>
            <w:tcW w:w="1721" w:type="dxa"/>
            <w:vAlign w:val="center"/>
          </w:tcPr>
          <w:p>
            <w:pPr>
              <w:pStyle w:val="13"/>
              <w:spacing w:line="240" w:lineRule="auto"/>
              <w:rPr>
                <w:color w:val="auto"/>
              </w:rPr>
            </w:pPr>
            <w:r>
              <w:rPr>
                <w:color w:val="auto"/>
              </w:rPr>
              <w:t>55.2</w:t>
            </w:r>
          </w:p>
        </w:tc>
        <w:tc>
          <w:tcPr>
            <w:tcW w:w="1983" w:type="dxa"/>
            <w:vAlign w:val="center"/>
          </w:tcPr>
          <w:p>
            <w:pPr>
              <w:pStyle w:val="13"/>
              <w:spacing w:line="240" w:lineRule="auto"/>
              <w:rPr>
                <w:color w:val="auto"/>
              </w:rPr>
            </w:pPr>
            <w:r>
              <w:rPr>
                <w:color w:val="auto"/>
              </w:rPr>
              <w:t>51.3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20" w:type="dxa"/>
            <w:vMerge w:val="continue"/>
            <w:vAlign w:val="center"/>
          </w:tcPr>
          <w:p>
            <w:pPr>
              <w:pStyle w:val="13"/>
              <w:spacing w:line="240" w:lineRule="auto"/>
              <w:rPr>
                <w:color w:val="auto"/>
              </w:rPr>
            </w:pPr>
          </w:p>
        </w:tc>
        <w:tc>
          <w:tcPr>
            <w:tcW w:w="2322" w:type="dxa"/>
            <w:vAlign w:val="center"/>
          </w:tcPr>
          <w:p>
            <w:pPr>
              <w:pStyle w:val="13"/>
              <w:spacing w:line="240" w:lineRule="auto"/>
              <w:rPr>
                <w:color w:val="auto"/>
              </w:rPr>
            </w:pPr>
            <w:r>
              <w:rPr>
                <w:color w:val="auto"/>
              </w:rPr>
              <w:t>北厂界外1m处</w:t>
            </w:r>
          </w:p>
        </w:tc>
        <w:tc>
          <w:tcPr>
            <w:tcW w:w="1721" w:type="dxa"/>
            <w:vAlign w:val="center"/>
          </w:tcPr>
          <w:p>
            <w:pPr>
              <w:pStyle w:val="13"/>
              <w:spacing w:line="240" w:lineRule="auto"/>
              <w:rPr>
                <w:color w:val="auto"/>
              </w:rPr>
            </w:pPr>
            <w:r>
              <w:rPr>
                <w:color w:val="auto"/>
              </w:rPr>
              <w:t>58.8</w:t>
            </w:r>
          </w:p>
        </w:tc>
        <w:tc>
          <w:tcPr>
            <w:tcW w:w="1983" w:type="dxa"/>
            <w:vAlign w:val="center"/>
          </w:tcPr>
          <w:p>
            <w:pPr>
              <w:pStyle w:val="13"/>
              <w:spacing w:line="240" w:lineRule="auto"/>
              <w:rPr>
                <w:color w:val="auto"/>
              </w:rPr>
            </w:pPr>
            <w:r>
              <w:rPr>
                <w:color w:val="auto"/>
              </w:rPr>
              <w:t>52.7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42" w:type="dxa"/>
            <w:gridSpan w:val="2"/>
            <w:tcBorders>
              <w:bottom w:val="double" w:color="auto" w:sz="4" w:space="0"/>
            </w:tcBorders>
            <w:vAlign w:val="center"/>
          </w:tcPr>
          <w:p>
            <w:pPr>
              <w:pStyle w:val="13"/>
              <w:spacing w:line="240" w:lineRule="auto"/>
              <w:rPr>
                <w:color w:val="auto"/>
              </w:rPr>
            </w:pPr>
            <w:r>
              <w:rPr>
                <w:color w:val="auto"/>
              </w:rPr>
              <w:t>标准限值</w:t>
            </w:r>
          </w:p>
        </w:tc>
        <w:tc>
          <w:tcPr>
            <w:tcW w:w="1721" w:type="dxa"/>
            <w:tcBorders>
              <w:bottom w:val="double" w:color="auto" w:sz="4" w:space="0"/>
            </w:tcBorders>
            <w:vAlign w:val="center"/>
          </w:tcPr>
          <w:p>
            <w:pPr>
              <w:pStyle w:val="13"/>
              <w:spacing w:line="240" w:lineRule="auto"/>
              <w:rPr>
                <w:color w:val="auto"/>
              </w:rPr>
            </w:pPr>
            <w:r>
              <w:rPr>
                <w:color w:val="auto"/>
              </w:rPr>
              <w:t>65</w:t>
            </w:r>
          </w:p>
        </w:tc>
        <w:tc>
          <w:tcPr>
            <w:tcW w:w="1983" w:type="dxa"/>
            <w:tcBorders>
              <w:bottom w:val="double" w:color="auto" w:sz="4" w:space="0"/>
            </w:tcBorders>
            <w:vAlign w:val="center"/>
          </w:tcPr>
          <w:p>
            <w:pPr>
              <w:pStyle w:val="13"/>
              <w:spacing w:line="240" w:lineRule="auto"/>
              <w:rPr>
                <w:color w:val="auto"/>
              </w:rPr>
            </w:pPr>
            <w:r>
              <w:rPr>
                <w:color w:val="auto"/>
              </w:rPr>
              <w:t>55</w:t>
            </w:r>
          </w:p>
        </w:tc>
      </w:tr>
    </w:tbl>
    <w:p>
      <w:pPr>
        <w:overflowPunct w:val="0"/>
        <w:topLinePunct/>
        <w:spacing w:line="590" w:lineRule="exact"/>
        <w:ind w:firstLine="480" w:firstLineChars="200"/>
        <w:rPr>
          <w:rFonts w:hint="eastAsia"/>
          <w:sz w:val="24"/>
          <w:szCs w:val="24"/>
          <w:lang w:val="en-US" w:eastAsia="zh-CN"/>
        </w:rPr>
      </w:pPr>
      <w:r>
        <w:rPr>
          <w:rFonts w:hint="eastAsia"/>
          <w:sz w:val="24"/>
          <w:szCs w:val="24"/>
          <w:lang w:val="en-US" w:eastAsia="zh-CN"/>
        </w:rPr>
        <w:t>监测结果表明，该项目厂界四周噪声在验收监测期间检测值范围：昼间54.8~61.3dB（A）、夜间49.2~54.8dB（A），符合《工业企业厂界环境噪声排放标准》（GB 12348-2008）中3类标准要求。</w:t>
      </w:r>
    </w:p>
    <w:p>
      <w:pPr>
        <w:pStyle w:val="3"/>
      </w:pPr>
      <w:r>
        <w:t>9.3  固体废物处置情况检查</w:t>
      </w:r>
    </w:p>
    <w:p>
      <w:pPr>
        <w:overflowPunct w:val="0"/>
        <w:topLinePunct/>
        <w:spacing w:line="590" w:lineRule="exact"/>
        <w:ind w:firstLine="480" w:firstLineChars="200"/>
        <w:rPr>
          <w:rFonts w:hint="eastAsia"/>
          <w:sz w:val="24"/>
          <w:szCs w:val="24"/>
          <w:lang w:val="en-US" w:eastAsia="zh-CN"/>
        </w:rPr>
      </w:pPr>
      <w:r>
        <w:rPr>
          <w:rFonts w:hint="eastAsia"/>
          <w:sz w:val="24"/>
          <w:szCs w:val="24"/>
          <w:lang w:val="en-US" w:eastAsia="zh-CN"/>
        </w:rPr>
        <w:t>本工程固体废物包括一般固废和危险固废，一般固废为废吸附剂、废瓷球及废填料及生活垃圾等，危险固废主要为部分废催化剂、废碱渣、废保护球、废吸附剂、污水处理剩余污泥等。项目固废产生及治理情况见表3-5。本项目已于南阳璋鑫化工有限公司、尉氏县鑫源钼业有限公司、河南宁泰环保科技有限公司、南阳市油田振兴特种油品有限公司签定危废处理协议，见附件3。</w:t>
      </w:r>
    </w:p>
    <w:p>
      <w:pPr>
        <w:spacing w:after="120" w:afterLines="50"/>
        <w:ind w:firstLine="0" w:firstLineChars="0"/>
        <w:jc w:val="center"/>
        <w:rPr>
          <w:b/>
          <w:bCs/>
          <w:color w:val="auto"/>
          <w:kern w:val="1"/>
          <w:szCs w:val="24"/>
        </w:rPr>
      </w:pPr>
      <w:r>
        <w:rPr>
          <w:b/>
          <w:bCs/>
          <w:color w:val="auto"/>
          <w:kern w:val="1"/>
          <w:szCs w:val="24"/>
        </w:rPr>
        <w:t>表</w:t>
      </w:r>
      <w:r>
        <w:rPr>
          <w:rFonts w:hint="eastAsia"/>
          <w:b/>
          <w:bCs/>
          <w:color w:val="auto"/>
          <w:kern w:val="1"/>
          <w:szCs w:val="24"/>
          <w:lang w:val="en-US" w:eastAsia="zh-CN"/>
        </w:rPr>
        <w:t>13</w:t>
      </w:r>
      <w:r>
        <w:rPr>
          <w:b/>
          <w:bCs/>
          <w:color w:val="auto"/>
          <w:kern w:val="1"/>
          <w:szCs w:val="24"/>
        </w:rPr>
        <w:t xml:space="preserve">   项目固废产生及治理情况一览表</w:t>
      </w:r>
    </w:p>
    <w:tbl>
      <w:tblPr>
        <w:tblStyle w:val="10"/>
        <w:tblW w:w="8362" w:type="dxa"/>
        <w:tblInd w:w="0" w:type="dxa"/>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Layout w:type="fixed"/>
        <w:tblCellMar>
          <w:top w:w="0" w:type="dxa"/>
          <w:left w:w="28" w:type="dxa"/>
          <w:bottom w:w="0" w:type="dxa"/>
          <w:right w:w="28" w:type="dxa"/>
        </w:tblCellMar>
      </w:tblPr>
      <w:tblGrid>
        <w:gridCol w:w="1375"/>
        <w:gridCol w:w="1604"/>
        <w:gridCol w:w="1854"/>
        <w:gridCol w:w="1260"/>
        <w:gridCol w:w="2269"/>
      </w:tblGrid>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375" w:type="dxa"/>
            <w:vAlign w:val="center"/>
          </w:tcPr>
          <w:p>
            <w:pPr>
              <w:spacing w:line="360" w:lineRule="exact"/>
              <w:ind w:firstLine="0" w:firstLineChars="0"/>
              <w:jc w:val="center"/>
              <w:rPr>
                <w:b/>
                <w:kern w:val="1"/>
                <w:sz w:val="21"/>
                <w:szCs w:val="21"/>
              </w:rPr>
            </w:pPr>
            <w:r>
              <w:rPr>
                <w:b/>
                <w:kern w:val="1"/>
                <w:sz w:val="21"/>
                <w:szCs w:val="21"/>
              </w:rPr>
              <w:t>装置</w:t>
            </w:r>
          </w:p>
        </w:tc>
        <w:tc>
          <w:tcPr>
            <w:tcW w:w="1604" w:type="dxa"/>
            <w:vAlign w:val="center"/>
          </w:tcPr>
          <w:p>
            <w:pPr>
              <w:spacing w:line="360" w:lineRule="exact"/>
              <w:ind w:firstLine="0" w:firstLineChars="0"/>
              <w:jc w:val="center"/>
              <w:rPr>
                <w:b/>
                <w:kern w:val="1"/>
                <w:sz w:val="21"/>
                <w:szCs w:val="21"/>
              </w:rPr>
            </w:pPr>
            <w:r>
              <w:rPr>
                <w:b/>
                <w:kern w:val="1"/>
                <w:sz w:val="21"/>
                <w:szCs w:val="21"/>
              </w:rPr>
              <w:t>污染源</w:t>
            </w:r>
          </w:p>
        </w:tc>
        <w:tc>
          <w:tcPr>
            <w:tcW w:w="1854" w:type="dxa"/>
            <w:vAlign w:val="center"/>
          </w:tcPr>
          <w:p>
            <w:pPr>
              <w:spacing w:line="360" w:lineRule="exact"/>
              <w:ind w:firstLine="0" w:firstLineChars="0"/>
              <w:jc w:val="center"/>
              <w:rPr>
                <w:b/>
                <w:kern w:val="1"/>
                <w:sz w:val="21"/>
                <w:szCs w:val="21"/>
              </w:rPr>
            </w:pPr>
            <w:r>
              <w:rPr>
                <w:b/>
                <w:kern w:val="1"/>
                <w:sz w:val="21"/>
                <w:szCs w:val="21"/>
              </w:rPr>
              <w:t>名称</w:t>
            </w:r>
          </w:p>
        </w:tc>
        <w:tc>
          <w:tcPr>
            <w:tcW w:w="1260" w:type="dxa"/>
            <w:vAlign w:val="center"/>
          </w:tcPr>
          <w:p>
            <w:pPr>
              <w:spacing w:line="360" w:lineRule="exact"/>
              <w:ind w:firstLine="0" w:firstLineChars="0"/>
              <w:jc w:val="center"/>
              <w:rPr>
                <w:b/>
                <w:kern w:val="1"/>
                <w:sz w:val="21"/>
                <w:szCs w:val="21"/>
              </w:rPr>
            </w:pPr>
            <w:r>
              <w:rPr>
                <w:b/>
                <w:kern w:val="1"/>
                <w:sz w:val="21"/>
                <w:szCs w:val="21"/>
              </w:rPr>
              <w:t>性质</w:t>
            </w:r>
          </w:p>
        </w:tc>
        <w:tc>
          <w:tcPr>
            <w:tcW w:w="2269" w:type="dxa"/>
            <w:vAlign w:val="center"/>
          </w:tcPr>
          <w:p>
            <w:pPr>
              <w:spacing w:line="360" w:lineRule="exact"/>
              <w:ind w:firstLine="0" w:firstLineChars="0"/>
              <w:jc w:val="center"/>
              <w:rPr>
                <w:b/>
                <w:kern w:val="1"/>
                <w:sz w:val="21"/>
                <w:szCs w:val="21"/>
              </w:rPr>
            </w:pPr>
            <w:r>
              <w:rPr>
                <w:b/>
                <w:kern w:val="1"/>
                <w:sz w:val="21"/>
                <w:szCs w:val="21"/>
              </w:rPr>
              <w:t>处理/处置方式</w:t>
            </w: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375" w:type="dxa"/>
            <w:vMerge w:val="restart"/>
            <w:vAlign w:val="center"/>
          </w:tcPr>
          <w:p>
            <w:pPr>
              <w:spacing w:line="360" w:lineRule="exact"/>
              <w:ind w:firstLine="0" w:firstLineChars="0"/>
              <w:jc w:val="center"/>
              <w:rPr>
                <w:kern w:val="1"/>
                <w:sz w:val="21"/>
                <w:szCs w:val="21"/>
              </w:rPr>
            </w:pPr>
            <w:r>
              <w:rPr>
                <w:kern w:val="1"/>
                <w:sz w:val="21"/>
                <w:szCs w:val="21"/>
              </w:rPr>
              <w:t>硫磺回收装置</w:t>
            </w:r>
          </w:p>
        </w:tc>
        <w:tc>
          <w:tcPr>
            <w:tcW w:w="1604" w:type="dxa"/>
            <w:vAlign w:val="center"/>
          </w:tcPr>
          <w:p>
            <w:pPr>
              <w:spacing w:line="360" w:lineRule="exact"/>
              <w:ind w:firstLine="0" w:firstLineChars="0"/>
              <w:jc w:val="center"/>
              <w:rPr>
                <w:kern w:val="1"/>
                <w:sz w:val="21"/>
                <w:szCs w:val="21"/>
              </w:rPr>
            </w:pPr>
            <w:r>
              <w:rPr>
                <w:kern w:val="1"/>
                <w:sz w:val="21"/>
                <w:szCs w:val="21"/>
              </w:rPr>
              <w:t>加氢反应器</w:t>
            </w:r>
          </w:p>
        </w:tc>
        <w:tc>
          <w:tcPr>
            <w:tcW w:w="1854" w:type="dxa"/>
            <w:tcBorders>
              <w:top w:val="single" w:color="auto" w:sz="4" w:space="0"/>
            </w:tcBorders>
            <w:vAlign w:val="center"/>
          </w:tcPr>
          <w:p>
            <w:pPr>
              <w:spacing w:line="360" w:lineRule="exact"/>
              <w:ind w:firstLine="0" w:firstLineChars="0"/>
              <w:jc w:val="center"/>
              <w:rPr>
                <w:kern w:val="1"/>
                <w:sz w:val="21"/>
                <w:szCs w:val="21"/>
              </w:rPr>
            </w:pPr>
            <w:r>
              <w:rPr>
                <w:kern w:val="1"/>
                <w:sz w:val="21"/>
                <w:szCs w:val="21"/>
              </w:rPr>
              <w:t>废催化剂</w:t>
            </w:r>
          </w:p>
        </w:tc>
        <w:tc>
          <w:tcPr>
            <w:tcW w:w="1260" w:type="dxa"/>
            <w:tcBorders>
              <w:top w:val="single" w:color="auto" w:sz="4" w:space="0"/>
              <w:bottom w:val="single" w:color="auto" w:sz="4" w:space="0"/>
            </w:tcBorders>
            <w:vAlign w:val="center"/>
          </w:tcPr>
          <w:p>
            <w:pPr>
              <w:spacing w:line="360" w:lineRule="exact"/>
              <w:ind w:firstLine="0" w:firstLineChars="0"/>
              <w:jc w:val="center"/>
              <w:rPr>
                <w:kern w:val="1"/>
                <w:sz w:val="21"/>
                <w:szCs w:val="21"/>
              </w:rPr>
            </w:pPr>
            <w:r>
              <w:rPr>
                <w:kern w:val="1"/>
                <w:sz w:val="21"/>
                <w:szCs w:val="21"/>
              </w:rPr>
              <w:t>危险固废</w:t>
            </w:r>
          </w:p>
        </w:tc>
        <w:tc>
          <w:tcPr>
            <w:tcW w:w="2269" w:type="dxa"/>
            <w:tcBorders>
              <w:top w:val="single" w:color="auto" w:sz="4" w:space="0"/>
              <w:bottom w:val="single" w:color="auto" w:sz="4" w:space="0"/>
            </w:tcBorders>
            <w:vAlign w:val="center"/>
          </w:tcPr>
          <w:p>
            <w:pPr>
              <w:spacing w:line="360" w:lineRule="exact"/>
              <w:ind w:firstLine="0" w:firstLineChars="0"/>
              <w:jc w:val="center"/>
              <w:rPr>
                <w:kern w:val="1"/>
                <w:sz w:val="21"/>
                <w:szCs w:val="21"/>
              </w:rPr>
            </w:pPr>
            <w:r>
              <w:rPr>
                <w:kern w:val="1"/>
                <w:sz w:val="21"/>
                <w:szCs w:val="21"/>
              </w:rPr>
              <w:t>签订危废协议</w:t>
            </w: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375" w:type="dxa"/>
            <w:vMerge w:val="continue"/>
            <w:vAlign w:val="center"/>
          </w:tcPr>
          <w:p>
            <w:pPr>
              <w:spacing w:line="360" w:lineRule="exact"/>
              <w:ind w:firstLine="0" w:firstLineChars="0"/>
              <w:jc w:val="center"/>
              <w:rPr>
                <w:kern w:val="1"/>
                <w:sz w:val="21"/>
                <w:szCs w:val="21"/>
              </w:rPr>
            </w:pPr>
          </w:p>
        </w:tc>
        <w:tc>
          <w:tcPr>
            <w:tcW w:w="1604" w:type="dxa"/>
            <w:vAlign w:val="center"/>
          </w:tcPr>
          <w:p>
            <w:pPr>
              <w:spacing w:line="360" w:lineRule="exact"/>
              <w:ind w:firstLine="0" w:firstLineChars="0"/>
              <w:jc w:val="center"/>
              <w:rPr>
                <w:kern w:val="1"/>
                <w:sz w:val="21"/>
                <w:szCs w:val="21"/>
              </w:rPr>
            </w:pPr>
            <w:r>
              <w:rPr>
                <w:kern w:val="1"/>
                <w:sz w:val="21"/>
                <w:szCs w:val="21"/>
              </w:rPr>
              <w:t>制硫反应器</w:t>
            </w:r>
          </w:p>
        </w:tc>
        <w:tc>
          <w:tcPr>
            <w:tcW w:w="1854" w:type="dxa"/>
            <w:vAlign w:val="center"/>
          </w:tcPr>
          <w:p>
            <w:pPr>
              <w:spacing w:line="360" w:lineRule="exact"/>
              <w:ind w:firstLine="0" w:firstLineChars="0"/>
              <w:jc w:val="center"/>
              <w:rPr>
                <w:kern w:val="1"/>
                <w:sz w:val="21"/>
                <w:szCs w:val="21"/>
              </w:rPr>
            </w:pPr>
            <w:r>
              <w:rPr>
                <w:kern w:val="1"/>
                <w:sz w:val="21"/>
                <w:szCs w:val="21"/>
              </w:rPr>
              <w:t>废催化剂</w:t>
            </w:r>
          </w:p>
        </w:tc>
        <w:tc>
          <w:tcPr>
            <w:tcW w:w="1260" w:type="dxa"/>
            <w:vMerge w:val="restart"/>
            <w:tcBorders>
              <w:top w:val="single" w:color="auto" w:sz="4" w:space="0"/>
            </w:tcBorders>
            <w:vAlign w:val="center"/>
          </w:tcPr>
          <w:p>
            <w:pPr>
              <w:spacing w:line="360" w:lineRule="exact"/>
              <w:ind w:firstLine="0" w:firstLineChars="0"/>
              <w:jc w:val="center"/>
              <w:rPr>
                <w:kern w:val="1"/>
                <w:sz w:val="21"/>
                <w:szCs w:val="21"/>
              </w:rPr>
            </w:pPr>
            <w:r>
              <w:rPr>
                <w:rFonts w:hint="eastAsia"/>
                <w:kern w:val="1"/>
                <w:sz w:val="21"/>
                <w:szCs w:val="21"/>
              </w:rPr>
              <w:t>一般固废</w:t>
            </w:r>
          </w:p>
        </w:tc>
        <w:tc>
          <w:tcPr>
            <w:tcW w:w="2269" w:type="dxa"/>
            <w:vMerge w:val="restart"/>
            <w:tcBorders>
              <w:top w:val="single" w:color="auto" w:sz="4" w:space="0"/>
            </w:tcBorders>
            <w:vAlign w:val="center"/>
          </w:tcPr>
          <w:p>
            <w:pPr>
              <w:spacing w:line="360" w:lineRule="exact"/>
              <w:ind w:firstLine="0" w:firstLineChars="0"/>
              <w:jc w:val="center"/>
              <w:rPr>
                <w:kern w:val="1"/>
                <w:sz w:val="21"/>
                <w:szCs w:val="21"/>
              </w:rPr>
            </w:pPr>
            <w:r>
              <w:rPr>
                <w:rFonts w:hint="eastAsia"/>
                <w:kern w:val="1"/>
                <w:sz w:val="21"/>
                <w:szCs w:val="21"/>
              </w:rPr>
              <w:t>厂家回收</w:t>
            </w: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375" w:type="dxa"/>
            <w:vAlign w:val="center"/>
          </w:tcPr>
          <w:p>
            <w:pPr>
              <w:spacing w:line="360" w:lineRule="exact"/>
              <w:ind w:firstLine="0" w:firstLineChars="0"/>
              <w:jc w:val="center"/>
              <w:rPr>
                <w:kern w:val="1"/>
                <w:sz w:val="21"/>
                <w:szCs w:val="21"/>
              </w:rPr>
            </w:pPr>
            <w:r>
              <w:rPr>
                <w:kern w:val="1"/>
                <w:sz w:val="21"/>
                <w:szCs w:val="21"/>
              </w:rPr>
              <w:t>空压站</w:t>
            </w:r>
          </w:p>
        </w:tc>
        <w:tc>
          <w:tcPr>
            <w:tcW w:w="1604" w:type="dxa"/>
            <w:vAlign w:val="center"/>
          </w:tcPr>
          <w:p>
            <w:pPr>
              <w:spacing w:line="360" w:lineRule="exact"/>
              <w:ind w:firstLine="0" w:firstLineChars="0"/>
              <w:jc w:val="center"/>
              <w:rPr>
                <w:kern w:val="1"/>
                <w:sz w:val="21"/>
                <w:szCs w:val="21"/>
              </w:rPr>
            </w:pPr>
            <w:r>
              <w:rPr>
                <w:kern w:val="1"/>
                <w:sz w:val="21"/>
                <w:szCs w:val="21"/>
              </w:rPr>
              <w:t>PSA</w:t>
            </w:r>
          </w:p>
        </w:tc>
        <w:tc>
          <w:tcPr>
            <w:tcW w:w="1854" w:type="dxa"/>
            <w:tcBorders>
              <w:bottom w:val="single" w:color="auto" w:sz="4" w:space="0"/>
            </w:tcBorders>
            <w:vAlign w:val="center"/>
          </w:tcPr>
          <w:p>
            <w:pPr>
              <w:spacing w:line="360" w:lineRule="exact"/>
              <w:ind w:firstLine="0" w:firstLineChars="0"/>
              <w:jc w:val="center"/>
              <w:rPr>
                <w:kern w:val="1"/>
                <w:sz w:val="21"/>
                <w:szCs w:val="21"/>
              </w:rPr>
            </w:pPr>
            <w:r>
              <w:rPr>
                <w:kern w:val="1"/>
                <w:sz w:val="21"/>
                <w:szCs w:val="21"/>
              </w:rPr>
              <w:t>废吸附剂</w:t>
            </w:r>
          </w:p>
        </w:tc>
        <w:tc>
          <w:tcPr>
            <w:tcW w:w="1260" w:type="dxa"/>
            <w:vMerge w:val="continue"/>
            <w:tcBorders>
              <w:bottom w:val="single" w:color="auto" w:sz="4" w:space="0"/>
            </w:tcBorders>
            <w:vAlign w:val="center"/>
          </w:tcPr>
          <w:p>
            <w:pPr>
              <w:spacing w:line="360" w:lineRule="exact"/>
              <w:ind w:firstLine="0" w:firstLineChars="0"/>
              <w:jc w:val="center"/>
              <w:rPr>
                <w:kern w:val="1"/>
                <w:sz w:val="21"/>
                <w:szCs w:val="21"/>
              </w:rPr>
            </w:pPr>
          </w:p>
        </w:tc>
        <w:tc>
          <w:tcPr>
            <w:tcW w:w="2269" w:type="dxa"/>
            <w:vMerge w:val="continue"/>
            <w:tcBorders>
              <w:bottom w:val="single" w:color="auto" w:sz="4" w:space="0"/>
            </w:tcBorders>
            <w:vAlign w:val="center"/>
          </w:tcPr>
          <w:p>
            <w:pPr>
              <w:spacing w:line="360" w:lineRule="exact"/>
              <w:ind w:firstLine="0" w:firstLineChars="0"/>
              <w:jc w:val="center"/>
              <w:rPr>
                <w:kern w:val="1"/>
                <w:sz w:val="21"/>
                <w:szCs w:val="21"/>
              </w:rPr>
            </w:pP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90" w:hRule="atLeast"/>
        </w:trPr>
        <w:tc>
          <w:tcPr>
            <w:tcW w:w="1375" w:type="dxa"/>
            <w:vMerge w:val="restart"/>
            <w:vAlign w:val="center"/>
          </w:tcPr>
          <w:p>
            <w:pPr>
              <w:spacing w:line="360" w:lineRule="exact"/>
              <w:ind w:firstLine="0" w:firstLineChars="0"/>
              <w:jc w:val="center"/>
              <w:rPr>
                <w:kern w:val="1"/>
                <w:sz w:val="21"/>
                <w:szCs w:val="21"/>
              </w:rPr>
            </w:pPr>
            <w:r>
              <w:rPr>
                <w:kern w:val="1"/>
                <w:sz w:val="21"/>
                <w:szCs w:val="21"/>
              </w:rPr>
              <w:t>中芳烃（柴油）加氢装置</w:t>
            </w:r>
          </w:p>
        </w:tc>
        <w:tc>
          <w:tcPr>
            <w:tcW w:w="1604" w:type="dxa"/>
            <w:vMerge w:val="restart"/>
            <w:vAlign w:val="center"/>
          </w:tcPr>
          <w:p>
            <w:pPr>
              <w:spacing w:line="360" w:lineRule="exact"/>
              <w:ind w:firstLine="0" w:firstLineChars="0"/>
              <w:jc w:val="center"/>
              <w:rPr>
                <w:kern w:val="1"/>
                <w:sz w:val="21"/>
                <w:szCs w:val="21"/>
              </w:rPr>
            </w:pPr>
            <w:r>
              <w:rPr>
                <w:kern w:val="1"/>
                <w:sz w:val="21"/>
                <w:szCs w:val="21"/>
              </w:rPr>
              <w:t>加氢精制反应器</w:t>
            </w:r>
          </w:p>
        </w:tc>
        <w:tc>
          <w:tcPr>
            <w:tcW w:w="1854" w:type="dxa"/>
            <w:tcBorders>
              <w:top w:val="single" w:color="auto" w:sz="4" w:space="0"/>
            </w:tcBorders>
            <w:vAlign w:val="center"/>
          </w:tcPr>
          <w:p>
            <w:pPr>
              <w:spacing w:line="360" w:lineRule="exact"/>
              <w:ind w:firstLine="0" w:firstLineChars="0"/>
              <w:jc w:val="center"/>
              <w:rPr>
                <w:kern w:val="1"/>
                <w:sz w:val="21"/>
                <w:szCs w:val="21"/>
              </w:rPr>
            </w:pPr>
            <w:r>
              <w:rPr>
                <w:kern w:val="1"/>
                <w:sz w:val="21"/>
                <w:szCs w:val="21"/>
              </w:rPr>
              <w:t>废催化剂</w:t>
            </w:r>
          </w:p>
        </w:tc>
        <w:tc>
          <w:tcPr>
            <w:tcW w:w="1260" w:type="dxa"/>
            <w:tcBorders>
              <w:top w:val="single" w:color="auto" w:sz="4" w:space="0"/>
              <w:bottom w:val="single" w:color="auto" w:sz="4" w:space="0"/>
            </w:tcBorders>
            <w:vAlign w:val="center"/>
          </w:tcPr>
          <w:p>
            <w:pPr>
              <w:spacing w:line="360" w:lineRule="exact"/>
              <w:ind w:firstLine="0" w:firstLineChars="0"/>
              <w:jc w:val="center"/>
              <w:rPr>
                <w:kern w:val="1"/>
                <w:sz w:val="21"/>
                <w:szCs w:val="21"/>
              </w:rPr>
            </w:pPr>
            <w:r>
              <w:rPr>
                <w:kern w:val="1"/>
                <w:sz w:val="21"/>
                <w:szCs w:val="21"/>
              </w:rPr>
              <w:t>危险固废</w:t>
            </w:r>
          </w:p>
        </w:tc>
        <w:tc>
          <w:tcPr>
            <w:tcW w:w="2269" w:type="dxa"/>
            <w:tcBorders>
              <w:top w:val="single" w:color="auto" w:sz="4" w:space="0"/>
              <w:bottom w:val="single" w:color="auto" w:sz="4" w:space="0"/>
            </w:tcBorders>
            <w:vAlign w:val="center"/>
          </w:tcPr>
          <w:p>
            <w:pPr>
              <w:spacing w:line="360" w:lineRule="exact"/>
              <w:ind w:firstLine="0" w:firstLineChars="0"/>
              <w:jc w:val="center"/>
              <w:rPr>
                <w:kern w:val="1"/>
                <w:sz w:val="21"/>
                <w:szCs w:val="21"/>
              </w:rPr>
            </w:pPr>
            <w:r>
              <w:rPr>
                <w:kern w:val="1"/>
                <w:sz w:val="21"/>
                <w:szCs w:val="21"/>
              </w:rPr>
              <w:t>签订危废协议</w:t>
            </w: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375" w:type="dxa"/>
            <w:vMerge w:val="continue"/>
            <w:vAlign w:val="center"/>
          </w:tcPr>
          <w:p>
            <w:pPr>
              <w:spacing w:line="360" w:lineRule="exact"/>
              <w:ind w:firstLine="0" w:firstLineChars="0"/>
              <w:jc w:val="center"/>
              <w:rPr>
                <w:kern w:val="1"/>
                <w:sz w:val="21"/>
                <w:szCs w:val="21"/>
              </w:rPr>
            </w:pPr>
          </w:p>
        </w:tc>
        <w:tc>
          <w:tcPr>
            <w:tcW w:w="1604" w:type="dxa"/>
            <w:vMerge w:val="continue"/>
            <w:vAlign w:val="center"/>
          </w:tcPr>
          <w:p>
            <w:pPr>
              <w:spacing w:line="360" w:lineRule="exact"/>
              <w:ind w:firstLine="0" w:firstLineChars="0"/>
              <w:jc w:val="center"/>
              <w:rPr>
                <w:kern w:val="1"/>
                <w:sz w:val="21"/>
                <w:szCs w:val="21"/>
              </w:rPr>
            </w:pPr>
          </w:p>
        </w:tc>
        <w:tc>
          <w:tcPr>
            <w:tcW w:w="1854" w:type="dxa"/>
            <w:vAlign w:val="center"/>
          </w:tcPr>
          <w:p>
            <w:pPr>
              <w:spacing w:line="360" w:lineRule="exact"/>
              <w:ind w:firstLine="0" w:firstLineChars="0"/>
              <w:jc w:val="center"/>
              <w:rPr>
                <w:kern w:val="1"/>
                <w:sz w:val="21"/>
                <w:szCs w:val="21"/>
              </w:rPr>
            </w:pPr>
            <w:r>
              <w:rPr>
                <w:kern w:val="1"/>
                <w:sz w:val="21"/>
                <w:szCs w:val="21"/>
              </w:rPr>
              <w:t>废保护球</w:t>
            </w:r>
          </w:p>
        </w:tc>
        <w:tc>
          <w:tcPr>
            <w:tcW w:w="1260" w:type="dxa"/>
            <w:vMerge w:val="restart"/>
            <w:tcBorders>
              <w:top w:val="single" w:color="auto" w:sz="4" w:space="0"/>
            </w:tcBorders>
            <w:vAlign w:val="center"/>
          </w:tcPr>
          <w:p>
            <w:pPr>
              <w:spacing w:line="360" w:lineRule="exact"/>
              <w:ind w:firstLine="0" w:firstLineChars="0"/>
              <w:jc w:val="center"/>
              <w:rPr>
                <w:kern w:val="1"/>
                <w:sz w:val="21"/>
                <w:szCs w:val="21"/>
              </w:rPr>
            </w:pPr>
            <w:r>
              <w:rPr>
                <w:rFonts w:hint="eastAsia"/>
                <w:kern w:val="1"/>
                <w:sz w:val="21"/>
                <w:szCs w:val="21"/>
              </w:rPr>
              <w:t>一般固废</w:t>
            </w:r>
          </w:p>
        </w:tc>
        <w:tc>
          <w:tcPr>
            <w:tcW w:w="2269" w:type="dxa"/>
            <w:vMerge w:val="restart"/>
            <w:tcBorders>
              <w:top w:val="single" w:color="auto" w:sz="4" w:space="0"/>
            </w:tcBorders>
            <w:vAlign w:val="center"/>
          </w:tcPr>
          <w:p>
            <w:pPr>
              <w:spacing w:line="360" w:lineRule="exact"/>
              <w:ind w:firstLine="0" w:firstLineChars="0"/>
              <w:jc w:val="center"/>
              <w:rPr>
                <w:kern w:val="1"/>
                <w:sz w:val="21"/>
                <w:szCs w:val="21"/>
              </w:rPr>
            </w:pPr>
            <w:r>
              <w:rPr>
                <w:rFonts w:hint="eastAsia"/>
                <w:kern w:val="1"/>
                <w:sz w:val="21"/>
                <w:szCs w:val="21"/>
              </w:rPr>
              <w:t>厂家回收</w:t>
            </w: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375" w:type="dxa"/>
            <w:vMerge w:val="continue"/>
            <w:vAlign w:val="center"/>
          </w:tcPr>
          <w:p>
            <w:pPr>
              <w:spacing w:line="360" w:lineRule="exact"/>
              <w:ind w:firstLine="0" w:firstLineChars="0"/>
              <w:jc w:val="center"/>
              <w:rPr>
                <w:kern w:val="1"/>
                <w:sz w:val="21"/>
                <w:szCs w:val="21"/>
              </w:rPr>
            </w:pPr>
          </w:p>
        </w:tc>
        <w:tc>
          <w:tcPr>
            <w:tcW w:w="1604" w:type="dxa"/>
            <w:vMerge w:val="continue"/>
            <w:vAlign w:val="center"/>
          </w:tcPr>
          <w:p>
            <w:pPr>
              <w:spacing w:line="360" w:lineRule="exact"/>
              <w:ind w:firstLine="0" w:firstLineChars="0"/>
              <w:jc w:val="center"/>
              <w:rPr>
                <w:kern w:val="1"/>
                <w:sz w:val="21"/>
                <w:szCs w:val="21"/>
              </w:rPr>
            </w:pPr>
          </w:p>
        </w:tc>
        <w:tc>
          <w:tcPr>
            <w:tcW w:w="1854" w:type="dxa"/>
            <w:vAlign w:val="center"/>
          </w:tcPr>
          <w:p>
            <w:pPr>
              <w:spacing w:line="360" w:lineRule="exact"/>
              <w:ind w:firstLine="0" w:firstLineChars="0"/>
              <w:jc w:val="center"/>
              <w:rPr>
                <w:kern w:val="1"/>
                <w:sz w:val="21"/>
                <w:szCs w:val="21"/>
              </w:rPr>
            </w:pPr>
            <w:r>
              <w:rPr>
                <w:kern w:val="1"/>
                <w:sz w:val="21"/>
                <w:szCs w:val="21"/>
              </w:rPr>
              <w:t>废瓷球</w:t>
            </w:r>
          </w:p>
        </w:tc>
        <w:tc>
          <w:tcPr>
            <w:tcW w:w="1260" w:type="dxa"/>
            <w:vMerge w:val="continue"/>
            <w:tcBorders>
              <w:bottom w:val="single" w:color="auto" w:sz="4" w:space="0"/>
            </w:tcBorders>
            <w:vAlign w:val="center"/>
          </w:tcPr>
          <w:p>
            <w:pPr>
              <w:spacing w:line="360" w:lineRule="exact"/>
              <w:ind w:firstLine="0" w:firstLineChars="0"/>
              <w:jc w:val="center"/>
              <w:rPr>
                <w:kern w:val="1"/>
                <w:sz w:val="21"/>
                <w:szCs w:val="21"/>
              </w:rPr>
            </w:pPr>
          </w:p>
        </w:tc>
        <w:tc>
          <w:tcPr>
            <w:tcW w:w="2269" w:type="dxa"/>
            <w:vMerge w:val="continue"/>
            <w:tcBorders>
              <w:bottom w:val="single" w:color="auto" w:sz="4" w:space="0"/>
            </w:tcBorders>
            <w:vAlign w:val="center"/>
          </w:tcPr>
          <w:p>
            <w:pPr>
              <w:spacing w:line="360" w:lineRule="exact"/>
              <w:ind w:firstLine="0" w:firstLineChars="0"/>
              <w:jc w:val="center"/>
              <w:rPr>
                <w:kern w:val="1"/>
                <w:sz w:val="21"/>
                <w:szCs w:val="21"/>
              </w:rPr>
            </w:pP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375" w:type="dxa"/>
            <w:vMerge w:val="restart"/>
            <w:vAlign w:val="center"/>
          </w:tcPr>
          <w:p>
            <w:pPr>
              <w:spacing w:line="360" w:lineRule="exact"/>
              <w:ind w:firstLine="0" w:firstLineChars="0"/>
              <w:jc w:val="center"/>
              <w:rPr>
                <w:kern w:val="1"/>
                <w:sz w:val="21"/>
                <w:szCs w:val="21"/>
              </w:rPr>
            </w:pPr>
            <w:r>
              <w:rPr>
                <w:kern w:val="1"/>
                <w:sz w:val="21"/>
                <w:szCs w:val="21"/>
              </w:rPr>
              <w:t>干气制氢装置</w:t>
            </w:r>
          </w:p>
        </w:tc>
        <w:tc>
          <w:tcPr>
            <w:tcW w:w="1604" w:type="dxa"/>
            <w:vAlign w:val="center"/>
          </w:tcPr>
          <w:p>
            <w:pPr>
              <w:spacing w:line="360" w:lineRule="exact"/>
              <w:ind w:firstLine="0" w:firstLineChars="0"/>
              <w:jc w:val="center"/>
              <w:rPr>
                <w:kern w:val="1"/>
                <w:sz w:val="21"/>
                <w:szCs w:val="21"/>
              </w:rPr>
            </w:pPr>
            <w:r>
              <w:rPr>
                <w:kern w:val="1"/>
                <w:sz w:val="21"/>
                <w:szCs w:val="21"/>
              </w:rPr>
              <w:t>加氢反应器</w:t>
            </w:r>
          </w:p>
        </w:tc>
        <w:tc>
          <w:tcPr>
            <w:tcW w:w="1854" w:type="dxa"/>
            <w:vAlign w:val="center"/>
          </w:tcPr>
          <w:p>
            <w:pPr>
              <w:spacing w:line="360" w:lineRule="exact"/>
              <w:ind w:firstLine="0" w:firstLineChars="0"/>
              <w:jc w:val="center"/>
              <w:rPr>
                <w:kern w:val="1"/>
                <w:sz w:val="21"/>
                <w:szCs w:val="21"/>
              </w:rPr>
            </w:pPr>
            <w:r>
              <w:rPr>
                <w:kern w:val="1"/>
                <w:sz w:val="21"/>
                <w:szCs w:val="21"/>
              </w:rPr>
              <w:t>废催化剂</w:t>
            </w:r>
          </w:p>
        </w:tc>
        <w:tc>
          <w:tcPr>
            <w:tcW w:w="1260" w:type="dxa"/>
            <w:vMerge w:val="restart"/>
            <w:tcBorders>
              <w:top w:val="single" w:color="auto" w:sz="4" w:space="0"/>
            </w:tcBorders>
            <w:vAlign w:val="center"/>
          </w:tcPr>
          <w:p>
            <w:pPr>
              <w:spacing w:line="360" w:lineRule="exact"/>
              <w:ind w:firstLine="0" w:firstLineChars="0"/>
              <w:jc w:val="center"/>
              <w:rPr>
                <w:kern w:val="1"/>
                <w:sz w:val="21"/>
                <w:szCs w:val="21"/>
              </w:rPr>
            </w:pPr>
            <w:r>
              <w:rPr>
                <w:kern w:val="1"/>
                <w:sz w:val="21"/>
                <w:szCs w:val="21"/>
              </w:rPr>
              <w:t>危险固废</w:t>
            </w:r>
          </w:p>
        </w:tc>
        <w:tc>
          <w:tcPr>
            <w:tcW w:w="2269" w:type="dxa"/>
            <w:vMerge w:val="restart"/>
            <w:tcBorders>
              <w:top w:val="single" w:color="auto" w:sz="4" w:space="0"/>
            </w:tcBorders>
            <w:vAlign w:val="center"/>
          </w:tcPr>
          <w:p>
            <w:pPr>
              <w:spacing w:line="360" w:lineRule="exact"/>
              <w:ind w:firstLine="0" w:firstLineChars="0"/>
              <w:jc w:val="center"/>
              <w:rPr>
                <w:kern w:val="1"/>
                <w:sz w:val="21"/>
                <w:szCs w:val="21"/>
              </w:rPr>
            </w:pPr>
            <w:r>
              <w:rPr>
                <w:kern w:val="1"/>
                <w:sz w:val="21"/>
                <w:szCs w:val="21"/>
              </w:rPr>
              <w:t>签订危废协议</w:t>
            </w: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90" w:hRule="atLeast"/>
        </w:trPr>
        <w:tc>
          <w:tcPr>
            <w:tcW w:w="1375" w:type="dxa"/>
            <w:vMerge w:val="continue"/>
            <w:vAlign w:val="center"/>
          </w:tcPr>
          <w:p>
            <w:pPr>
              <w:spacing w:line="360" w:lineRule="exact"/>
              <w:ind w:firstLine="0" w:firstLineChars="0"/>
              <w:jc w:val="center"/>
              <w:rPr>
                <w:kern w:val="1"/>
                <w:sz w:val="21"/>
                <w:szCs w:val="21"/>
              </w:rPr>
            </w:pPr>
          </w:p>
        </w:tc>
        <w:tc>
          <w:tcPr>
            <w:tcW w:w="1604" w:type="dxa"/>
            <w:vAlign w:val="center"/>
          </w:tcPr>
          <w:p>
            <w:pPr>
              <w:spacing w:line="360" w:lineRule="exact"/>
              <w:ind w:firstLine="0" w:firstLineChars="0"/>
              <w:jc w:val="center"/>
              <w:rPr>
                <w:kern w:val="1"/>
                <w:sz w:val="21"/>
                <w:szCs w:val="21"/>
              </w:rPr>
            </w:pPr>
            <w:r>
              <w:rPr>
                <w:kern w:val="1"/>
                <w:sz w:val="21"/>
                <w:szCs w:val="21"/>
              </w:rPr>
              <w:t>脱硫反应器</w:t>
            </w:r>
          </w:p>
        </w:tc>
        <w:tc>
          <w:tcPr>
            <w:tcW w:w="1854" w:type="dxa"/>
            <w:vAlign w:val="center"/>
          </w:tcPr>
          <w:p>
            <w:pPr>
              <w:spacing w:line="360" w:lineRule="exact"/>
              <w:ind w:firstLine="0" w:firstLineChars="0"/>
              <w:jc w:val="center"/>
              <w:rPr>
                <w:kern w:val="1"/>
                <w:sz w:val="21"/>
                <w:szCs w:val="21"/>
              </w:rPr>
            </w:pPr>
            <w:r>
              <w:rPr>
                <w:kern w:val="1"/>
                <w:sz w:val="21"/>
                <w:szCs w:val="21"/>
              </w:rPr>
              <w:t>废脱硫剂</w:t>
            </w:r>
          </w:p>
        </w:tc>
        <w:tc>
          <w:tcPr>
            <w:tcW w:w="1260" w:type="dxa"/>
            <w:vMerge w:val="continue"/>
            <w:tcBorders>
              <w:top w:val="single" w:color="auto" w:sz="4" w:space="0"/>
              <w:bottom w:val="single" w:color="auto" w:sz="4" w:space="0"/>
            </w:tcBorders>
            <w:vAlign w:val="center"/>
          </w:tcPr>
          <w:p>
            <w:pPr>
              <w:spacing w:line="360" w:lineRule="exact"/>
              <w:ind w:firstLine="0" w:firstLineChars="0"/>
              <w:jc w:val="center"/>
              <w:rPr>
                <w:kern w:val="1"/>
                <w:sz w:val="21"/>
                <w:szCs w:val="21"/>
              </w:rPr>
            </w:pPr>
          </w:p>
        </w:tc>
        <w:tc>
          <w:tcPr>
            <w:tcW w:w="2269" w:type="dxa"/>
            <w:vMerge w:val="continue"/>
            <w:tcBorders>
              <w:top w:val="single" w:color="auto" w:sz="4" w:space="0"/>
              <w:bottom w:val="single" w:color="auto" w:sz="4" w:space="0"/>
            </w:tcBorders>
            <w:vAlign w:val="center"/>
          </w:tcPr>
          <w:p>
            <w:pPr>
              <w:spacing w:line="360" w:lineRule="exact"/>
              <w:ind w:firstLine="0" w:firstLineChars="0"/>
              <w:jc w:val="center"/>
              <w:rPr>
                <w:kern w:val="1"/>
                <w:sz w:val="21"/>
                <w:szCs w:val="21"/>
              </w:rPr>
            </w:pP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375" w:type="dxa"/>
            <w:vMerge w:val="continue"/>
            <w:vAlign w:val="center"/>
          </w:tcPr>
          <w:p>
            <w:pPr>
              <w:spacing w:line="360" w:lineRule="exact"/>
              <w:ind w:firstLine="0" w:firstLineChars="0"/>
              <w:jc w:val="center"/>
              <w:rPr>
                <w:kern w:val="1"/>
                <w:sz w:val="21"/>
                <w:szCs w:val="21"/>
              </w:rPr>
            </w:pPr>
          </w:p>
        </w:tc>
        <w:tc>
          <w:tcPr>
            <w:tcW w:w="1604" w:type="dxa"/>
            <w:vAlign w:val="center"/>
          </w:tcPr>
          <w:p>
            <w:pPr>
              <w:spacing w:line="360" w:lineRule="exact"/>
              <w:ind w:firstLine="0" w:firstLineChars="0"/>
              <w:jc w:val="center"/>
              <w:rPr>
                <w:kern w:val="1"/>
                <w:sz w:val="21"/>
                <w:szCs w:val="21"/>
              </w:rPr>
            </w:pPr>
            <w:r>
              <w:rPr>
                <w:kern w:val="1"/>
                <w:sz w:val="21"/>
                <w:szCs w:val="21"/>
              </w:rPr>
              <w:t>转化炉</w:t>
            </w:r>
          </w:p>
        </w:tc>
        <w:tc>
          <w:tcPr>
            <w:tcW w:w="1854" w:type="dxa"/>
            <w:vMerge w:val="restart"/>
            <w:vAlign w:val="center"/>
          </w:tcPr>
          <w:p>
            <w:pPr>
              <w:spacing w:line="360" w:lineRule="exact"/>
              <w:ind w:firstLine="0" w:firstLineChars="0"/>
              <w:jc w:val="center"/>
              <w:rPr>
                <w:kern w:val="1"/>
                <w:sz w:val="21"/>
                <w:szCs w:val="21"/>
              </w:rPr>
            </w:pPr>
            <w:r>
              <w:rPr>
                <w:kern w:val="1"/>
                <w:sz w:val="21"/>
                <w:szCs w:val="21"/>
              </w:rPr>
              <w:t>废催化剂</w:t>
            </w:r>
          </w:p>
        </w:tc>
        <w:tc>
          <w:tcPr>
            <w:tcW w:w="1260" w:type="dxa"/>
            <w:vMerge w:val="continue"/>
            <w:tcBorders>
              <w:top w:val="single" w:color="auto" w:sz="4" w:space="0"/>
              <w:bottom w:val="single" w:color="auto" w:sz="4" w:space="0"/>
            </w:tcBorders>
            <w:vAlign w:val="center"/>
          </w:tcPr>
          <w:p>
            <w:pPr>
              <w:spacing w:line="360" w:lineRule="exact"/>
              <w:ind w:firstLine="0" w:firstLineChars="0"/>
              <w:jc w:val="center"/>
              <w:rPr>
                <w:kern w:val="1"/>
                <w:sz w:val="21"/>
                <w:szCs w:val="21"/>
              </w:rPr>
            </w:pPr>
          </w:p>
        </w:tc>
        <w:tc>
          <w:tcPr>
            <w:tcW w:w="2269" w:type="dxa"/>
            <w:vMerge w:val="continue"/>
            <w:tcBorders>
              <w:top w:val="single" w:color="auto" w:sz="4" w:space="0"/>
              <w:bottom w:val="single" w:color="auto" w:sz="4" w:space="0"/>
            </w:tcBorders>
            <w:vAlign w:val="center"/>
          </w:tcPr>
          <w:p>
            <w:pPr>
              <w:spacing w:line="360" w:lineRule="exact"/>
              <w:ind w:firstLine="0" w:firstLineChars="0"/>
              <w:jc w:val="center"/>
              <w:rPr>
                <w:kern w:val="1"/>
                <w:sz w:val="21"/>
                <w:szCs w:val="21"/>
              </w:rPr>
            </w:pP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375" w:type="dxa"/>
            <w:vMerge w:val="continue"/>
            <w:vAlign w:val="center"/>
          </w:tcPr>
          <w:p>
            <w:pPr>
              <w:spacing w:line="360" w:lineRule="exact"/>
              <w:ind w:firstLine="0" w:firstLineChars="0"/>
              <w:jc w:val="center"/>
              <w:rPr>
                <w:kern w:val="1"/>
                <w:sz w:val="21"/>
                <w:szCs w:val="21"/>
              </w:rPr>
            </w:pPr>
          </w:p>
        </w:tc>
        <w:tc>
          <w:tcPr>
            <w:tcW w:w="1604" w:type="dxa"/>
            <w:vAlign w:val="center"/>
          </w:tcPr>
          <w:p>
            <w:pPr>
              <w:spacing w:line="360" w:lineRule="exact"/>
              <w:ind w:firstLine="0" w:firstLineChars="0"/>
              <w:jc w:val="center"/>
              <w:rPr>
                <w:kern w:val="1"/>
                <w:sz w:val="21"/>
                <w:szCs w:val="21"/>
              </w:rPr>
            </w:pPr>
            <w:r>
              <w:rPr>
                <w:kern w:val="1"/>
                <w:sz w:val="21"/>
                <w:szCs w:val="21"/>
              </w:rPr>
              <w:t>中变反应器</w:t>
            </w:r>
          </w:p>
        </w:tc>
        <w:tc>
          <w:tcPr>
            <w:tcW w:w="1854" w:type="dxa"/>
            <w:vMerge w:val="continue"/>
            <w:vAlign w:val="center"/>
          </w:tcPr>
          <w:p>
            <w:pPr>
              <w:spacing w:line="360" w:lineRule="exact"/>
              <w:ind w:firstLine="0" w:firstLineChars="0"/>
              <w:jc w:val="center"/>
              <w:rPr>
                <w:kern w:val="1"/>
                <w:sz w:val="21"/>
                <w:szCs w:val="21"/>
              </w:rPr>
            </w:pPr>
          </w:p>
        </w:tc>
        <w:tc>
          <w:tcPr>
            <w:tcW w:w="1260" w:type="dxa"/>
            <w:vMerge w:val="continue"/>
            <w:tcBorders>
              <w:top w:val="single" w:color="auto" w:sz="4" w:space="0"/>
              <w:bottom w:val="single" w:color="auto" w:sz="4" w:space="0"/>
            </w:tcBorders>
            <w:vAlign w:val="center"/>
          </w:tcPr>
          <w:p>
            <w:pPr>
              <w:spacing w:line="360" w:lineRule="exact"/>
              <w:ind w:firstLine="0" w:firstLineChars="0"/>
              <w:jc w:val="center"/>
              <w:rPr>
                <w:kern w:val="1"/>
                <w:sz w:val="21"/>
                <w:szCs w:val="21"/>
              </w:rPr>
            </w:pPr>
          </w:p>
        </w:tc>
        <w:tc>
          <w:tcPr>
            <w:tcW w:w="2269" w:type="dxa"/>
            <w:vMerge w:val="continue"/>
            <w:tcBorders>
              <w:top w:val="single" w:color="auto" w:sz="4" w:space="0"/>
              <w:bottom w:val="single" w:color="auto" w:sz="4" w:space="0"/>
            </w:tcBorders>
            <w:vAlign w:val="center"/>
          </w:tcPr>
          <w:p>
            <w:pPr>
              <w:spacing w:line="360" w:lineRule="exact"/>
              <w:ind w:firstLine="0" w:firstLineChars="0"/>
              <w:jc w:val="center"/>
              <w:rPr>
                <w:kern w:val="1"/>
                <w:sz w:val="21"/>
                <w:szCs w:val="21"/>
              </w:rPr>
            </w:pP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375" w:type="dxa"/>
            <w:vMerge w:val="continue"/>
            <w:vAlign w:val="center"/>
          </w:tcPr>
          <w:p>
            <w:pPr>
              <w:spacing w:line="360" w:lineRule="exact"/>
              <w:ind w:firstLine="0" w:firstLineChars="0"/>
              <w:jc w:val="center"/>
              <w:rPr>
                <w:kern w:val="1"/>
                <w:sz w:val="21"/>
                <w:szCs w:val="21"/>
              </w:rPr>
            </w:pPr>
          </w:p>
        </w:tc>
        <w:tc>
          <w:tcPr>
            <w:tcW w:w="1604" w:type="dxa"/>
            <w:vMerge w:val="restart"/>
            <w:vAlign w:val="center"/>
          </w:tcPr>
          <w:p>
            <w:pPr>
              <w:spacing w:line="360" w:lineRule="exact"/>
              <w:ind w:firstLine="0" w:firstLineChars="0"/>
              <w:jc w:val="center"/>
              <w:rPr>
                <w:kern w:val="1"/>
                <w:sz w:val="21"/>
                <w:szCs w:val="21"/>
              </w:rPr>
            </w:pPr>
            <w:r>
              <w:rPr>
                <w:kern w:val="1"/>
                <w:sz w:val="21"/>
                <w:szCs w:val="21"/>
              </w:rPr>
              <w:t>PSA装置</w:t>
            </w:r>
          </w:p>
        </w:tc>
        <w:tc>
          <w:tcPr>
            <w:tcW w:w="1854" w:type="dxa"/>
            <w:vAlign w:val="center"/>
          </w:tcPr>
          <w:p>
            <w:pPr>
              <w:spacing w:line="360" w:lineRule="exact"/>
              <w:ind w:firstLine="0" w:firstLineChars="0"/>
              <w:jc w:val="center"/>
              <w:rPr>
                <w:kern w:val="1"/>
                <w:sz w:val="21"/>
                <w:szCs w:val="21"/>
              </w:rPr>
            </w:pPr>
            <w:r>
              <w:rPr>
                <w:kern w:val="1"/>
                <w:sz w:val="21"/>
                <w:szCs w:val="21"/>
              </w:rPr>
              <w:t>废吸附剂</w:t>
            </w:r>
          </w:p>
        </w:tc>
        <w:tc>
          <w:tcPr>
            <w:tcW w:w="1260" w:type="dxa"/>
            <w:vMerge w:val="restart"/>
            <w:tcBorders>
              <w:top w:val="single" w:color="auto" w:sz="4" w:space="0"/>
              <w:bottom w:val="single" w:color="auto" w:sz="4" w:space="0"/>
            </w:tcBorders>
            <w:vAlign w:val="center"/>
          </w:tcPr>
          <w:p>
            <w:pPr>
              <w:spacing w:line="360" w:lineRule="exact"/>
              <w:ind w:firstLine="0" w:firstLineChars="0"/>
              <w:jc w:val="center"/>
              <w:rPr>
                <w:kern w:val="1"/>
                <w:sz w:val="21"/>
                <w:szCs w:val="21"/>
              </w:rPr>
            </w:pPr>
            <w:r>
              <w:rPr>
                <w:rFonts w:hint="eastAsia"/>
                <w:kern w:val="1"/>
                <w:sz w:val="21"/>
                <w:szCs w:val="21"/>
              </w:rPr>
              <w:t>一般固废</w:t>
            </w:r>
          </w:p>
        </w:tc>
        <w:tc>
          <w:tcPr>
            <w:tcW w:w="2269" w:type="dxa"/>
            <w:vMerge w:val="restart"/>
            <w:tcBorders>
              <w:top w:val="single" w:color="auto" w:sz="4" w:space="0"/>
              <w:bottom w:val="single" w:color="auto" w:sz="4" w:space="0"/>
            </w:tcBorders>
            <w:vAlign w:val="center"/>
          </w:tcPr>
          <w:p>
            <w:pPr>
              <w:spacing w:line="360" w:lineRule="exact"/>
              <w:ind w:firstLine="0" w:firstLineChars="0"/>
              <w:jc w:val="center"/>
              <w:rPr>
                <w:kern w:val="1"/>
                <w:sz w:val="21"/>
                <w:szCs w:val="21"/>
              </w:rPr>
            </w:pPr>
            <w:r>
              <w:rPr>
                <w:rFonts w:hint="eastAsia"/>
                <w:kern w:val="1"/>
                <w:sz w:val="21"/>
                <w:szCs w:val="21"/>
              </w:rPr>
              <w:t>厂家回收</w:t>
            </w: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1375" w:type="dxa"/>
            <w:vMerge w:val="continue"/>
            <w:vAlign w:val="center"/>
          </w:tcPr>
          <w:p>
            <w:pPr>
              <w:spacing w:line="360" w:lineRule="exact"/>
              <w:ind w:firstLine="0" w:firstLineChars="0"/>
              <w:jc w:val="center"/>
              <w:rPr>
                <w:kern w:val="1"/>
                <w:sz w:val="21"/>
                <w:szCs w:val="21"/>
              </w:rPr>
            </w:pPr>
          </w:p>
        </w:tc>
        <w:tc>
          <w:tcPr>
            <w:tcW w:w="1604" w:type="dxa"/>
            <w:vMerge w:val="continue"/>
            <w:vAlign w:val="center"/>
          </w:tcPr>
          <w:p>
            <w:pPr>
              <w:spacing w:line="360" w:lineRule="exact"/>
              <w:ind w:firstLine="0" w:firstLineChars="0"/>
              <w:jc w:val="center"/>
              <w:rPr>
                <w:kern w:val="1"/>
                <w:sz w:val="21"/>
                <w:szCs w:val="21"/>
              </w:rPr>
            </w:pPr>
          </w:p>
        </w:tc>
        <w:tc>
          <w:tcPr>
            <w:tcW w:w="1854" w:type="dxa"/>
            <w:vAlign w:val="center"/>
          </w:tcPr>
          <w:p>
            <w:pPr>
              <w:spacing w:line="360" w:lineRule="exact"/>
              <w:ind w:firstLine="0" w:firstLineChars="0"/>
              <w:jc w:val="center"/>
              <w:rPr>
                <w:kern w:val="1"/>
                <w:sz w:val="21"/>
                <w:szCs w:val="21"/>
              </w:rPr>
            </w:pPr>
            <w:r>
              <w:rPr>
                <w:kern w:val="1"/>
                <w:sz w:val="21"/>
                <w:szCs w:val="21"/>
              </w:rPr>
              <w:t>废瓷球及废填料</w:t>
            </w:r>
          </w:p>
        </w:tc>
        <w:tc>
          <w:tcPr>
            <w:tcW w:w="1260" w:type="dxa"/>
            <w:vMerge w:val="continue"/>
            <w:tcBorders>
              <w:top w:val="single" w:color="auto" w:sz="4" w:space="0"/>
              <w:bottom w:val="single" w:color="auto" w:sz="4" w:space="0"/>
            </w:tcBorders>
            <w:vAlign w:val="center"/>
          </w:tcPr>
          <w:p>
            <w:pPr>
              <w:spacing w:line="360" w:lineRule="exact"/>
              <w:ind w:firstLine="0" w:firstLineChars="0"/>
              <w:jc w:val="center"/>
              <w:rPr>
                <w:kern w:val="1"/>
                <w:sz w:val="21"/>
                <w:szCs w:val="21"/>
              </w:rPr>
            </w:pPr>
          </w:p>
        </w:tc>
        <w:tc>
          <w:tcPr>
            <w:tcW w:w="2269" w:type="dxa"/>
            <w:vMerge w:val="continue"/>
            <w:tcBorders>
              <w:top w:val="single" w:color="auto" w:sz="4" w:space="0"/>
              <w:bottom w:val="single" w:color="auto" w:sz="4" w:space="0"/>
            </w:tcBorders>
            <w:vAlign w:val="center"/>
          </w:tcPr>
          <w:p>
            <w:pPr>
              <w:spacing w:line="360" w:lineRule="exact"/>
              <w:ind w:firstLine="0" w:firstLineChars="0"/>
              <w:jc w:val="center"/>
              <w:rPr>
                <w:kern w:val="1"/>
                <w:sz w:val="21"/>
                <w:szCs w:val="21"/>
              </w:rPr>
            </w:pPr>
          </w:p>
        </w:tc>
      </w:tr>
      <w:tr>
        <w:tblPrEx>
          <w:tblBorders>
            <w:top w:val="double" w:color="auto" w:sz="4" w:space="0"/>
            <w:left w:val="none" w:color="auto" w:sz="0" w:space="0"/>
            <w:bottom w:val="double" w:color="auto" w:sz="4" w:space="0"/>
            <w:right w:val="none" w:color="auto" w:sz="0" w:space="0"/>
            <w:insideH w:val="single" w:color="000000" w:sz="2" w:space="0"/>
            <w:insideV w:val="single" w:color="000000" w:sz="2" w:space="0"/>
          </w:tblBorders>
          <w:tblCellMar>
            <w:top w:w="0" w:type="dxa"/>
            <w:left w:w="28" w:type="dxa"/>
            <w:bottom w:w="0" w:type="dxa"/>
            <w:right w:w="28" w:type="dxa"/>
          </w:tblCellMar>
        </w:tblPrEx>
        <w:trPr>
          <w:cantSplit/>
          <w:trHeight w:val="340" w:hRule="atLeast"/>
        </w:trPr>
        <w:tc>
          <w:tcPr>
            <w:tcW w:w="2979" w:type="dxa"/>
            <w:gridSpan w:val="2"/>
            <w:vAlign w:val="center"/>
          </w:tcPr>
          <w:p>
            <w:pPr>
              <w:spacing w:line="360" w:lineRule="exact"/>
              <w:ind w:firstLine="0" w:firstLineChars="0"/>
              <w:jc w:val="center"/>
              <w:rPr>
                <w:kern w:val="1"/>
                <w:sz w:val="21"/>
                <w:szCs w:val="21"/>
              </w:rPr>
            </w:pPr>
            <w:r>
              <w:rPr>
                <w:kern w:val="1"/>
                <w:sz w:val="21"/>
                <w:szCs w:val="21"/>
              </w:rPr>
              <w:t>污水处理站</w:t>
            </w:r>
          </w:p>
        </w:tc>
        <w:tc>
          <w:tcPr>
            <w:tcW w:w="1854" w:type="dxa"/>
            <w:vAlign w:val="center"/>
          </w:tcPr>
          <w:p>
            <w:pPr>
              <w:spacing w:line="360" w:lineRule="exact"/>
              <w:ind w:firstLine="0" w:firstLineChars="0"/>
              <w:jc w:val="center"/>
              <w:rPr>
                <w:kern w:val="1"/>
                <w:sz w:val="21"/>
                <w:szCs w:val="21"/>
              </w:rPr>
            </w:pPr>
            <w:r>
              <w:rPr>
                <w:kern w:val="1"/>
                <w:sz w:val="21"/>
                <w:szCs w:val="21"/>
              </w:rPr>
              <w:t>污泥</w:t>
            </w:r>
          </w:p>
        </w:tc>
        <w:tc>
          <w:tcPr>
            <w:tcW w:w="1260" w:type="dxa"/>
            <w:tcBorders>
              <w:top w:val="single" w:color="auto" w:sz="4" w:space="0"/>
            </w:tcBorders>
            <w:vAlign w:val="center"/>
          </w:tcPr>
          <w:p>
            <w:pPr>
              <w:spacing w:line="360" w:lineRule="exact"/>
              <w:ind w:firstLine="0" w:firstLineChars="0"/>
              <w:jc w:val="center"/>
              <w:rPr>
                <w:kern w:val="1"/>
                <w:sz w:val="21"/>
                <w:szCs w:val="21"/>
              </w:rPr>
            </w:pPr>
            <w:r>
              <w:rPr>
                <w:kern w:val="1"/>
                <w:sz w:val="21"/>
                <w:szCs w:val="21"/>
              </w:rPr>
              <w:t>危险固废</w:t>
            </w:r>
          </w:p>
        </w:tc>
        <w:tc>
          <w:tcPr>
            <w:tcW w:w="2269" w:type="dxa"/>
            <w:tcBorders>
              <w:top w:val="single" w:color="auto" w:sz="4" w:space="0"/>
            </w:tcBorders>
            <w:vAlign w:val="center"/>
          </w:tcPr>
          <w:p>
            <w:pPr>
              <w:spacing w:line="360" w:lineRule="exact"/>
              <w:ind w:firstLine="0" w:firstLineChars="0"/>
              <w:jc w:val="center"/>
              <w:rPr>
                <w:kern w:val="1"/>
                <w:sz w:val="21"/>
                <w:szCs w:val="21"/>
              </w:rPr>
            </w:pPr>
            <w:r>
              <w:rPr>
                <w:kern w:val="1"/>
                <w:sz w:val="21"/>
                <w:szCs w:val="21"/>
              </w:rPr>
              <w:t>签订危废协议</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color w:val="00B050"/>
          <w:sz w:val="24"/>
          <w:szCs w:val="24"/>
        </w:rPr>
      </w:pPr>
      <w:r>
        <w:rPr>
          <w:sz w:val="24"/>
          <w:szCs w:val="24"/>
        </w:rPr>
        <w:t>截止至验收监测期间，全厂共处理含镍废催化剂505t，处理污水处理站污泥2583.4t</w:t>
      </w:r>
      <w:r>
        <w:rPr>
          <w:color w:val="00B050"/>
          <w:sz w:val="24"/>
          <w:szCs w:val="24"/>
        </w:rPr>
        <w:t>。</w:t>
      </w:r>
    </w:p>
    <w:p>
      <w:pPr>
        <w:overflowPunct w:val="0"/>
        <w:topLinePunct/>
        <w:spacing w:line="590" w:lineRule="exact"/>
        <w:ind w:firstLine="640" w:firstLineChars="200"/>
        <w:rPr>
          <w:rFonts w:ascii="Times New Roman" w:hAnsi="Times New Roman" w:eastAsia="方正黑体_GBK"/>
          <w:b/>
          <w:sz w:val="32"/>
          <w:szCs w:val="32"/>
        </w:rPr>
      </w:pPr>
      <w:r>
        <w:rPr>
          <w:rFonts w:ascii="Times New Roman" w:hAnsi="Times New Roman" w:eastAsia="方正黑体_GBK"/>
          <w:b/>
          <w:sz w:val="32"/>
          <w:szCs w:val="32"/>
        </w:rPr>
        <w:br w:type="page"/>
      </w:r>
    </w:p>
    <w:p>
      <w:pPr>
        <w:pStyle w:val="2"/>
      </w:pPr>
      <w:r>
        <w:t>10  验收监测结论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lang w:val="en-US" w:eastAsia="zh-CN"/>
        </w:rPr>
      </w:pPr>
      <w:r>
        <w:rPr>
          <w:rFonts w:hint="eastAsia"/>
          <w:sz w:val="24"/>
          <w:szCs w:val="24"/>
          <w:lang w:val="en-US" w:eastAsia="zh-CN"/>
        </w:rPr>
        <w:t>厂界噪声监测结果达标，固体废物处置措施按照环评要求落实，同时提出建议如下：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lang w:val="en-US" w:eastAsia="zh-CN"/>
        </w:rPr>
      </w:pPr>
      <w:r>
        <w:rPr>
          <w:rFonts w:hint="eastAsia"/>
          <w:sz w:val="24"/>
          <w:szCs w:val="24"/>
          <w:lang w:val="en-US" w:eastAsia="zh-CN"/>
        </w:rPr>
        <w:t>1、加强各类固体废物的管理，尤其是加强各类危险废物的管理，保证与有资质单位签订的合同在有效期内。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lang w:val="en-US" w:eastAsia="zh-CN"/>
        </w:rPr>
      </w:pPr>
      <w:r>
        <w:rPr>
          <w:rFonts w:hint="eastAsia"/>
          <w:sz w:val="24"/>
          <w:szCs w:val="24"/>
          <w:lang w:val="en-US" w:eastAsia="zh-CN"/>
        </w:rPr>
        <w:t>2、企业在项目运行中严格执行环保有关规定，采取有力措施，加强自身环境管理能力，将噪声对周围环境的影响降至最低。</w:t>
      </w:r>
    </w:p>
    <w:p/>
    <w:sectPr>
      <w:pgSz w:w="11906" w:h="16838"/>
      <w:pgMar w:top="1440" w:right="17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体">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single" w:color="auto" w:sz="4" w:space="1"/>
      </w:pBdr>
      <w:ind w:firstLine="0" w:firstLineChars="0"/>
      <w:rPr>
        <w:rFonts w:ascii="隶书" w:hAnsi="隶书" w:eastAsia="隶书" w:cs="隶书"/>
      </w:rPr>
    </w:pPr>
    <w: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9050">
                        <a:noFill/>
                      </a:ln>
                    </wps:spPr>
                    <wps:txbx>
                      <w:txbxContent>
                        <w:p>
                          <w:pPr>
                            <w:pStyle w:val="6"/>
                            <w:ind w:firstLine="360"/>
                          </w:pPr>
                          <w:r>
                            <w:fldChar w:fldCharType="begin"/>
                          </w:r>
                          <w:r>
                            <w:instrText xml:space="preserve"> PAGE  \* MERGEFORMAT </w:instrText>
                          </w:r>
                          <w:r>
                            <w:fldChar w:fldCharType="separate"/>
                          </w:r>
                          <w:r>
                            <w:t>9</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7216;mso-width-relative:page;mso-height-relative:page;" filled="f" stroked="f" coordsize="21600,21600" o:gfxdata="UEsDBAoAAAAAAIdO4kAAAAAAAAAAAAAAAAAEAAAAZHJzL1BLAwQUAAAACACHTuJAHZtZns8AAAAF&#10;AQAADwAAAGRycy9kb3ducmV2LnhtbE2P3UrDQBCF7wXfYZmCd3a3FSTGbHpRKApeNfoAm+zkh+5P&#10;2J228e0dRdCbYQ5nOPOdard4Jy6Y8hSDhs1agcDQRTuFQcPH++G+AJHJBGtcDKjhEzPs6tubypQ2&#10;XsMRLw0NgkNCLo2GkWgupczdiN7kdZwxsNfH5A2xTIO0yVw53Du5VepRejMF/jCaGfcjdqfm7DU8&#10;LU3fJqLofP9yeH3w6aj2b1rfrTbqGQThQn/H8I3P6FAzUxvPwWbhNHAR+pnsbYuCZfu7yLqS/+nr&#10;L1BLAwQUAAAACACHTuJANuca1LYBAABVAwAADgAAAGRycy9lMm9Eb2MueG1srVPNjtMwEL4j8Q6W&#10;7zRpJVCImq5Aq0VICJAWHsB17MaS/zTjNukLwBtw4sKd5+pzMHabLoLbai/OjGf8zXzfTNY3k7Ps&#10;oABN8B1fLmrOlJehN37X8a9f7l40nGESvhc2eNXxo0J+s3n+bD3GVq3CEGyvgBGIx3aMHR9Sim1V&#10;oRyUE7gIUXkK6gBOJHJhV/UgRkJ3tlrV9atqDNBHCFIh0u3tOcg3BV9rJdMnrVElZjtOvaVyQjm3&#10;+aw2a9HuQMTByEsb4hFdOGE8Fb1C3Yok2B7Mf1DOSAgYdFrI4KqgtZGqcCA2y/ofNveDiKpwIXEw&#10;XmXCp4OVHw+fgZm+4zQoLxyN6PTj++nn79Ovb6zJ8owRW8q6j5SXprdhojHP90iXmfWkweUv8WEU&#10;J6GPV3HVlJjMj5pV09QUkhSbHcKvHp5HwPROBcey0XGg6RVRxeEDpnPqnJKr+XBnrC0TtJ6NhPq6&#10;flmXF9cQoVtPRTKLc7fZStN2ulDbhv5IzEZagY572lHO7HtPCudtmQ2Yje1s7COY3UBNLks9jG/2&#10;idopXeYKZ9hLYZpd4XnZs7wcf/sl6+Fv2P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ZtZns8A&#10;AAAFAQAADwAAAAAAAAABACAAAAAiAAAAZHJzL2Rvd25yZXYueG1sUEsBAhQAFAAAAAgAh07iQDbn&#10;GtS2AQAAVQMAAA4AAAAAAAAAAQAgAAAAHgEAAGRycy9lMm9Eb2MueG1sUEsFBgAAAAAGAAYAWQEA&#10;AEYFAAAAAA==&#10;">
              <v:fill on="f" focussize="0,0"/>
              <v:stroke on="f" weight="1.5pt"/>
              <v:imagedata o:title=""/>
              <o:lock v:ext="edit" aspectratio="f"/>
              <v:textbox inset="0mm,0mm,0mm,0mm" style="mso-fit-shape-to-text:t;">
                <w:txbxContent>
                  <w:p>
                    <w:pPr>
                      <w:pStyle w:val="6"/>
                      <w:ind w:firstLine="360"/>
                    </w:pPr>
                    <w:r>
                      <w:fldChar w:fldCharType="begin"/>
                    </w:r>
                    <w:r>
                      <w:instrText xml:space="preserve"> PAGE  \* MERGEFORMAT </w:instrText>
                    </w:r>
                    <w:r>
                      <w:fldChar w:fldCharType="separate"/>
                    </w:r>
                    <w:r>
                      <w:t>9</w:t>
                    </w:r>
                    <w:r>
                      <w:fldChar w:fldCharType="end"/>
                    </w:r>
                  </w:p>
                </w:txbxContent>
              </v:textbox>
            </v:shape>
          </w:pict>
        </mc:Fallback>
      </mc:AlternateContent>
    </w:r>
    <w:r>
      <w:rPr>
        <w:rFonts w:ascii="宋体" w:hAnsi="宋体" w:cs="宋体"/>
      </w:rPr>
      <mc:AlternateContent>
        <mc:Choice Requires="wps">
          <w:drawing>
            <wp:anchor distT="0" distB="0" distL="114300" distR="114300" simplePos="0" relativeHeight="25165004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6"/>
                            <w:ind w:firstLine="360"/>
                            <w:jc w:val="center"/>
                          </w:pPr>
                        </w:p>
                        <w:p>
                          <w:pPr>
                            <w:ind w:firstLine="480"/>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004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G+gaLcBAABUAwAADgAAAGRycy9lMm9Eb2MueG1srVPNbtswDL4P6DsI&#10;ujd2AnRIjTjFhqLDgKEb0O0BFFmKBegPpBI7L9C9wU677L7nynOMUuJ02G7DLjIpUh+/j6RXd6Oz&#10;bK8ATfAtn89qzpSXoTN+2/Ivnx+ul5xhEr4TNnjV8oNCfre+erUaYqMWoQ+2U8AIxGMzxJb3KcWm&#10;qlD2ygmchag8BXUAJxK5sK06EAOhO1st6vp1NQToIgSpEOn2/hTk64KvtZLpo9aoErMtJ26pnFDO&#10;TT6r9Uo0WxCxN/JMQ/wDCyeMp6IXqHuRBNuB+QvKGQkBg04zGVwVtDZSFQ2kZl7/oeapF1EVLdQc&#10;jJc24f+DlY/7T8BM1/JbzrxwNKLjt6/H7z+PP57ZbW7PELGhrKdIeWl8G0Ya83SPdJlVjxpc/pIe&#10;RnFq9OHSXDUmJvOj5WK5rCkkKTY5hF+9PI+A6Z0KjmWj5UDTK00V+w+YTqlTSq7mw4OxtkzQejaQ&#10;hJvFTXlwiRC49VQjiziRzVYaN+NZ2SZ0BxI20Aa03NOKcmbfe2pwXpbJgMnYTMYugtn2xHFe6mF8&#10;s0vEppDMFU6w58I0uiLzvGZ5N373S9bLz7D+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BI&#10;b6BotwEAAFQDAAAOAAAAAAAAAAEAIAAAAB4BAABkcnMvZTJvRG9jLnhtbFBLBQYAAAAABgAGAFkB&#10;AABHBQAAAAA=&#10;">
              <v:fill on="f" focussize="0,0"/>
              <v:stroke on="f"/>
              <v:imagedata o:title=""/>
              <o:lock v:ext="edit" aspectratio="f"/>
              <v:textbox inset="0mm,0mm,0mm,0mm" style="mso-fit-shape-to-text:t;">
                <w:txbxContent>
                  <w:p>
                    <w:pPr>
                      <w:pStyle w:val="6"/>
                      <w:ind w:firstLine="360"/>
                      <w:jc w:val="center"/>
                    </w:pPr>
                  </w:p>
                  <w:p>
                    <w:pPr>
                      <w:ind w:firstLine="480"/>
                    </w:pPr>
                  </w:p>
                </w:txbxContent>
              </v:textbox>
            </v:shape>
          </w:pict>
        </mc:Fallback>
      </mc:AlternateContent>
    </w:r>
    <w:r>
      <w:rPr>
        <w:rFonts w:hint="eastAsia" w:ascii="宋体" w:hAnsi="宋体" w:cs="宋体"/>
      </w:rPr>
      <w:t>河南鑫安利职业健康科技有限公司</w:t>
    </w:r>
    <w:r>
      <w:rPr>
        <w:rFonts w:ascii="隶书" w:hAnsi="隶书" w:eastAsia="隶书" w:cs="隶书"/>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1D87CC"/>
    <w:multiLevelType w:val="singleLevel"/>
    <w:tmpl w:val="841D87CC"/>
    <w:lvl w:ilvl="0" w:tentative="0">
      <w:start w:val="2"/>
      <w:numFmt w:val="decimal"/>
      <w:suff w:val="nothing"/>
      <w:lvlText w:val="（%1）"/>
      <w:lvlJc w:val="left"/>
    </w:lvl>
  </w:abstractNum>
  <w:abstractNum w:abstractNumId="1">
    <w:nsid w:val="C6B90162"/>
    <w:multiLevelType w:val="singleLevel"/>
    <w:tmpl w:val="C6B90162"/>
    <w:lvl w:ilvl="0" w:tentative="0">
      <w:start w:val="9"/>
      <w:numFmt w:val="decimal"/>
      <w:suff w:val="nothing"/>
      <w:lvlText w:val="%1、"/>
      <w:lvlJc w:val="left"/>
    </w:lvl>
  </w:abstractNum>
  <w:abstractNum w:abstractNumId="2">
    <w:nsid w:val="5A0C0BC5"/>
    <w:multiLevelType w:val="singleLevel"/>
    <w:tmpl w:val="5A0C0BC5"/>
    <w:lvl w:ilvl="0" w:tentative="0">
      <w:start w:val="1"/>
      <w:numFmt w:val="decimal"/>
      <w:suff w:val="nothing"/>
      <w:lvlText w:val="%1、"/>
      <w:lvlJc w:val="left"/>
    </w:lvl>
  </w:abstractNum>
  <w:abstractNum w:abstractNumId="3">
    <w:nsid w:val="5A0D288A"/>
    <w:multiLevelType w:val="singleLevel"/>
    <w:tmpl w:val="5A0D288A"/>
    <w:lvl w:ilvl="0" w:tentative="0">
      <w:start w:val="1"/>
      <w:numFmt w:val="decimal"/>
      <w:lvlText w:val="%1."/>
      <w:lvlJc w:val="left"/>
      <w:pPr>
        <w:ind w:left="425" w:hanging="425"/>
      </w:pPr>
      <w:rPr>
        <w:rFont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在水一方">
    <w15:presenceInfo w15:providerId="WPS Office" w15:userId="26208676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626"/>
    <w:rsid w:val="00234443"/>
    <w:rsid w:val="00507A82"/>
    <w:rsid w:val="00710281"/>
    <w:rsid w:val="00A17CFC"/>
    <w:rsid w:val="00C00626"/>
    <w:rsid w:val="00CD74CF"/>
    <w:rsid w:val="00F463C3"/>
    <w:rsid w:val="019F1762"/>
    <w:rsid w:val="07174C50"/>
    <w:rsid w:val="090D0824"/>
    <w:rsid w:val="117116E3"/>
    <w:rsid w:val="19860CD1"/>
    <w:rsid w:val="1B1261E8"/>
    <w:rsid w:val="215C7545"/>
    <w:rsid w:val="223D3801"/>
    <w:rsid w:val="23E6743C"/>
    <w:rsid w:val="26BA62FA"/>
    <w:rsid w:val="2737778E"/>
    <w:rsid w:val="29AE334F"/>
    <w:rsid w:val="29C90D3B"/>
    <w:rsid w:val="305D679B"/>
    <w:rsid w:val="318F0F9F"/>
    <w:rsid w:val="32883BAA"/>
    <w:rsid w:val="35E54679"/>
    <w:rsid w:val="36BD6C54"/>
    <w:rsid w:val="40317340"/>
    <w:rsid w:val="437C585D"/>
    <w:rsid w:val="46B02442"/>
    <w:rsid w:val="4762702D"/>
    <w:rsid w:val="47D8788F"/>
    <w:rsid w:val="4A9D754D"/>
    <w:rsid w:val="4C926E3F"/>
    <w:rsid w:val="50C22EF2"/>
    <w:rsid w:val="5CA67FFC"/>
    <w:rsid w:val="5EBF5C84"/>
    <w:rsid w:val="62B114B2"/>
    <w:rsid w:val="62E604DA"/>
    <w:rsid w:val="71AE7981"/>
    <w:rsid w:val="727F79D4"/>
    <w:rsid w:val="74A64756"/>
    <w:rsid w:val="774F4F9E"/>
    <w:rsid w:val="7B054852"/>
    <w:rsid w:val="7BD60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99"/>
    <w:pPr>
      <w:keepNext/>
      <w:widowControl w:val="0"/>
      <w:spacing w:beforeLines="50" w:afterLines="50"/>
      <w:ind w:firstLine="0" w:firstLineChars="0"/>
      <w:jc w:val="center"/>
      <w:outlineLvl w:val="0"/>
    </w:pPr>
    <w:rPr>
      <w:b/>
      <w:sz w:val="36"/>
      <w:szCs w:val="20"/>
    </w:rPr>
  </w:style>
  <w:style w:type="paragraph" w:styleId="3">
    <w:name w:val="heading 2"/>
    <w:basedOn w:val="1"/>
    <w:next w:val="1"/>
    <w:qFormat/>
    <w:uiPriority w:val="99"/>
    <w:pPr>
      <w:keepNext/>
      <w:keepLines/>
      <w:spacing w:beforeLines="50" w:afterLines="50"/>
      <w:ind w:firstLine="0" w:firstLineChars="0"/>
      <w:outlineLvl w:val="1"/>
    </w:pPr>
    <w:rPr>
      <w:rFonts w:ascii="Cambria" w:hAnsi="Cambria"/>
      <w:b/>
      <w:bCs/>
      <w:sz w:val="28"/>
      <w:szCs w:val="32"/>
    </w:rPr>
  </w:style>
  <w:style w:type="paragraph" w:styleId="4">
    <w:name w:val="heading 3"/>
    <w:basedOn w:val="1"/>
    <w:next w:val="1"/>
    <w:qFormat/>
    <w:uiPriority w:val="99"/>
    <w:pPr>
      <w:keepNext/>
      <w:keepLines/>
      <w:spacing w:beforeLines="50" w:afterLines="50"/>
      <w:ind w:firstLine="0" w:firstLineChars="0"/>
      <w:outlineLvl w:val="2"/>
    </w:pPr>
    <w:rPr>
      <w:b/>
      <w:bCs/>
      <w:sz w:val="28"/>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unhideWhenUsed/>
    <w:qFormat/>
    <w:uiPriority w:val="99"/>
  </w:style>
  <w:style w:type="paragraph" w:styleId="6">
    <w:name w:val="footer"/>
    <w:basedOn w:val="1"/>
    <w:qFormat/>
    <w:uiPriority w:val="99"/>
    <w:pPr>
      <w:tabs>
        <w:tab w:val="center" w:pos="4153"/>
        <w:tab w:val="right" w:pos="8306"/>
      </w:tabs>
    </w:pPr>
    <w:rPr>
      <w:sz w:val="18"/>
      <w:szCs w:val="18"/>
    </w:rPr>
  </w:style>
  <w:style w:type="paragraph" w:styleId="7">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99"/>
    <w:pPr>
      <w:adjustRightInd/>
      <w:snapToGrid/>
      <w:spacing w:before="100" w:beforeAutospacing="1" w:after="100" w:afterAutospacing="1"/>
    </w:pPr>
    <w:rPr>
      <w:rFonts w:ascii="宋体" w:hAnsi="宋体"/>
      <w:szCs w:val="24"/>
    </w:rPr>
  </w:style>
  <w:style w:type="paragraph" w:styleId="9">
    <w:name w:val="Body Text First Indent"/>
    <w:basedOn w:val="5"/>
    <w:unhideWhenUsed/>
    <w:qFormat/>
    <w:uiPriority w:val="99"/>
    <w:pPr>
      <w:ind w:firstLine="420" w:firstLineChars="100"/>
    </w:pPr>
    <w:rPr>
      <w:rFonts w:ascii="宋体" w:hAnsi="宋体"/>
    </w:rPr>
  </w:style>
  <w:style w:type="paragraph" w:customStyle="1" w:styleId="12">
    <w:name w:val="样式2"/>
    <w:basedOn w:val="1"/>
    <w:qFormat/>
    <w:uiPriority w:val="99"/>
    <w:pPr>
      <w:widowControl w:val="0"/>
      <w:jc w:val="center"/>
    </w:pPr>
    <w:rPr>
      <w:b/>
      <w:szCs w:val="20"/>
    </w:rPr>
  </w:style>
  <w:style w:type="paragraph" w:customStyle="1" w:styleId="13">
    <w:name w:val="表中文字1"/>
    <w:qFormat/>
    <w:uiPriority w:val="99"/>
    <w:pPr>
      <w:widowControl w:val="0"/>
      <w:adjustRightInd w:val="0"/>
      <w:snapToGrid w:val="0"/>
      <w:spacing w:line="300" w:lineRule="auto"/>
      <w:jc w:val="center"/>
    </w:pPr>
    <w:rPr>
      <w:rFonts w:ascii="Times New Roman" w:hAnsi="Times New Roman" w:eastAsia="宋体" w:cs="Times New Roman"/>
      <w:color w:val="000000"/>
      <w:kern w:val="2"/>
      <w:sz w:val="21"/>
      <w:szCs w:val="24"/>
      <w:lang w:val="en-US" w:eastAsia="zh-CN" w:bidi="ar-SA"/>
    </w:rPr>
  </w:style>
  <w:style w:type="paragraph" w:customStyle="1" w:styleId="14">
    <w:name w:val="表1表2"/>
    <w:basedOn w:val="1"/>
    <w:qFormat/>
    <w:uiPriority w:val="0"/>
    <w:pPr>
      <w:autoSpaceDE w:val="0"/>
      <w:autoSpaceDN w:val="0"/>
      <w:jc w:val="center"/>
      <w:textAlignment w:val="center"/>
    </w:pPr>
    <w:rPr>
      <w:rFonts w:eastAsia="仿宋体"/>
    </w:rPr>
  </w:style>
  <w:style w:type="paragraph" w:customStyle="1" w:styleId="15">
    <w:name w:val="表格"/>
    <w:qFormat/>
    <w:uiPriority w:val="0"/>
    <w:pPr>
      <w:widowControl w:val="0"/>
      <w:adjustRightInd w:val="0"/>
      <w:snapToGrid w:val="0"/>
      <w:spacing w:line="360" w:lineRule="auto"/>
      <w:jc w:val="center"/>
    </w:pPr>
    <w:rPr>
      <w:rFonts w:ascii="Calibri" w:hAnsi="Calibri" w:eastAsia="微软雅黑" w:cs="Times New Roman"/>
      <w:color w:val="000000"/>
      <w:kern w:val="2"/>
      <w:sz w:val="21"/>
      <w:szCs w:val="24"/>
      <w:lang w:val="en-US" w:eastAsia="zh-CN" w:bidi="ar-SA"/>
    </w:rPr>
  </w:style>
  <w:style w:type="character" w:customStyle="1" w:styleId="16">
    <w:name w:val="标题 1 Char"/>
    <w:link w:val="2"/>
    <w:qFormat/>
    <w:uiPriority w:val="99"/>
    <w:rPr>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file:///C:\Users\Administrator\AppData\Roaming\Tencent\Users\296505006\QQ\WinTemp\RichOle\%252525252525252525252525252525252525252525252525257dZ~J4Y%252525252525252525252525252525252525252525252525257d$UA%2525252525252525252525252525252525252525252525252525$%252525252525252525252525252525252525252525252525255bESN%252525252525252525252525252525252525252525252525255dE7PIHB.png"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wmk</Company>
  <Pages>7</Pages>
  <Words>1063</Words>
  <Characters>1171</Characters>
  <Lines>117</Lines>
  <Paragraphs>101</Paragraphs>
  <TotalTime>15</TotalTime>
  <ScaleCrop>false</ScaleCrop>
  <LinksUpToDate>false</LinksUpToDate>
  <CharactersWithSpaces>2133</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2018-07-11T09:59:00Z</dcterms:created>
  <dc:creator>wmk</dc:creator>
  <cp:lastModifiedBy>格</cp:lastModifiedBy>
  <dcterms:modified xsi:type="dcterms:W3CDTF">2020-06-03T06:24:42Z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